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200" w:line="220" w:lineRule="atLeast"/>
        <w:jc w:val="center"/>
        <w:rPr>
          <w:rFonts w:ascii="宋体" w:hAnsi="宋体" w:eastAsia="宋体"/>
          <w:sz w:val="36"/>
          <w:szCs w:val="36"/>
        </w:rPr>
      </w:pPr>
    </w:p>
    <w:p>
      <w:pPr>
        <w:snapToGrid w:val="0"/>
        <w:spacing w:after="200" w:line="220" w:lineRule="atLeast"/>
        <w:jc w:val="center"/>
        <w:rPr>
          <w:rFonts w:ascii="宋体" w:hAnsi="宋体" w:eastAsia="宋体"/>
          <w:sz w:val="36"/>
          <w:szCs w:val="36"/>
        </w:rPr>
      </w:pPr>
    </w:p>
    <w:p>
      <w:pPr>
        <w:snapToGrid w:val="0"/>
        <w:spacing w:after="200" w:line="220" w:lineRule="atLeast"/>
        <w:jc w:val="center"/>
        <w:rPr>
          <w:rFonts w:ascii="宋体" w:hAnsi="宋体" w:eastAsia="宋体"/>
          <w:sz w:val="36"/>
          <w:szCs w:val="36"/>
        </w:rPr>
      </w:pPr>
    </w:p>
    <w:p>
      <w:pPr>
        <w:snapToGrid w:val="0"/>
        <w:spacing w:after="200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  <w:u w:val="singl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</w:rPr>
        <w:t xml:space="preserve"> 洛阳职业技术学院新校区一期2023年度    </w:t>
      </w:r>
    </w:p>
    <w:p>
      <w:pPr>
        <w:snapToGrid w:val="0"/>
        <w:spacing w:after="200" w:line="220" w:lineRule="atLeas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防雷装置检测技术服务合同</w:t>
      </w:r>
    </w:p>
    <w:p>
      <w:pPr>
        <w:snapToGrid w:val="0"/>
        <w:spacing w:after="200" w:line="220" w:lineRule="atLeast"/>
        <w:rPr>
          <w:rFonts w:ascii="宋体" w:hAnsi="宋体" w:eastAsia="宋体"/>
          <w:sz w:val="32"/>
          <w:szCs w:val="32"/>
        </w:rPr>
      </w:pPr>
    </w:p>
    <w:p>
      <w:pPr>
        <w:snapToGrid w:val="0"/>
        <w:spacing w:after="200" w:line="220" w:lineRule="atLeast"/>
        <w:rPr>
          <w:rFonts w:ascii="宋体" w:hAnsi="宋体" w:eastAsia="宋体"/>
          <w:sz w:val="32"/>
          <w:szCs w:val="32"/>
        </w:rPr>
      </w:pPr>
    </w:p>
    <w:p>
      <w:pPr>
        <w:snapToGrid w:val="0"/>
        <w:spacing w:after="200" w:line="220" w:lineRule="atLeast"/>
        <w:rPr>
          <w:rFonts w:ascii="宋体" w:hAnsi="宋体" w:eastAsia="宋体"/>
          <w:sz w:val="32"/>
          <w:szCs w:val="32"/>
        </w:rPr>
      </w:pPr>
    </w:p>
    <w:p>
      <w:pPr>
        <w:snapToGrid w:val="0"/>
        <w:spacing w:after="200" w:line="220" w:lineRule="atLeast"/>
        <w:rPr>
          <w:rFonts w:ascii="宋体" w:hAnsi="宋体" w:eastAsia="宋体"/>
          <w:sz w:val="32"/>
          <w:szCs w:val="32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sz w:val="28"/>
          <w:szCs w:val="28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sz w:val="28"/>
          <w:szCs w:val="28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sz w:val="28"/>
          <w:szCs w:val="28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sz w:val="28"/>
          <w:szCs w:val="28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sz w:val="28"/>
          <w:szCs w:val="28"/>
        </w:rPr>
      </w:pPr>
    </w:p>
    <w:p>
      <w:pPr>
        <w:snapToGrid w:val="0"/>
        <w:spacing w:after="200" w:line="300" w:lineRule="auto"/>
        <w:ind w:firstLine="560"/>
        <w:rPr>
          <w:rFonts w:ascii="微软雅黑" w:hAnsi="微软雅黑" w:eastAsia="微软雅黑"/>
          <w:sz w:val="28"/>
          <w:szCs w:val="28"/>
        </w:rPr>
      </w:pPr>
    </w:p>
    <w:p>
      <w:pPr>
        <w:snapToGrid w:val="0"/>
        <w:spacing w:after="200" w:line="300" w:lineRule="auto"/>
        <w:ind w:firstLine="64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 xml:space="preserve">      甲方：</w:t>
      </w:r>
      <w:r>
        <w:rPr>
          <w:rFonts w:hint="eastAsia" w:ascii="黑体" w:hAnsi="黑体" w:eastAsia="黑体"/>
          <w:sz w:val="32"/>
          <w:szCs w:val="32"/>
        </w:rPr>
        <w:t>洛阳职业技术学院</w:t>
      </w:r>
    </w:p>
    <w:p>
      <w:pPr>
        <w:snapToGrid w:val="0"/>
        <w:spacing w:after="200" w:line="300" w:lineRule="auto"/>
        <w:ind w:firstLine="640"/>
        <w:rPr>
          <w:rFonts w:ascii="宋体" w:hAnsi="宋体" w:eastAsia="宋体"/>
          <w:sz w:val="28"/>
          <w:szCs w:val="28"/>
        </w:rPr>
      </w:pPr>
      <w:r>
        <w:rPr>
          <w:rFonts w:ascii="黑体" w:hAnsi="黑体" w:eastAsia="黑体"/>
          <w:sz w:val="32"/>
          <w:szCs w:val="32"/>
        </w:rPr>
        <w:t xml:space="preserve">      乙方：</w:t>
      </w:r>
      <w:r>
        <w:rPr>
          <w:rFonts w:ascii="宋体" w:hAnsi="宋体" w:eastAsia="宋体"/>
          <w:sz w:val="28"/>
          <w:szCs w:val="28"/>
        </w:rPr>
        <w:t xml:space="preserve"> 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甲方：洛阳职业技术学院</w:t>
      </w:r>
    </w:p>
    <w:p>
      <w:pPr>
        <w:ind w:firstLine="64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乙方：  </w:t>
      </w:r>
      <w:r>
        <w:rPr>
          <w:rFonts w:ascii="宋体" w:hAnsi="宋体" w:eastAsia="宋体"/>
          <w:sz w:val="28"/>
          <w:szCs w:val="28"/>
        </w:rPr>
        <w:t xml:space="preserve"> 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甲方洛阳职业技术学院依照《中华人民共和国政府采购法》的规定，通过采购程序，将甲方新校区一期建（构）筑物2023年度防雷防静电装置安全检查检测工作交由乙方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承担。为顺利开展工作，双方依据采购程序确定的条件，签订本合同，以供共同遵守执行：</w:t>
      </w:r>
    </w:p>
    <w:p>
      <w:pPr>
        <w:ind w:firstLine="643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第一条</w:t>
      </w:r>
      <w:r>
        <w:rPr>
          <w:rFonts w:hint="eastAsia" w:ascii="黑体" w:hAnsi="黑体" w:eastAsia="黑体" w:cs="黑体"/>
          <w:sz w:val="32"/>
          <w:szCs w:val="32"/>
        </w:rPr>
        <w:t xml:space="preserve"> 检测依据</w:t>
      </w:r>
    </w:p>
    <w:p>
      <w:pPr>
        <w:snapToGrid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《中华人民共和国气象法》、《防雷减灾管理办法》、《河南省气象条例》等国家有关防雷管理法规、地方相关法规。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第二条 检测内容</w:t>
      </w:r>
    </w:p>
    <w:p>
      <w:pPr>
        <w:snapToGrid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1.检测项目：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洛阳职业技术学院新校区一期已有建（构）筑物、设备及其相关附属设施2023年度防雷防静电装置安全检查检测工作；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</w:t>
      </w:r>
    </w:p>
    <w:p>
      <w:pPr>
        <w:snapToGrid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2.检测内容：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建（构）筑物、设备及其相关附属设施的各类接地、等电位连接、电涌保护性能状况等雷电防护装置检测数据，并通过相关部门核审及备案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第三条 检测标准</w:t>
      </w:r>
    </w:p>
    <w:p>
      <w:pPr>
        <w:snapToGrid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GB50057-2010《建筑物防雷设计规范》、GB50601-2010《建筑物防雷工程施工与质量验收规范》、《建筑物电子信息系统防雷技术规范》（GB50343-2012）、《交流电气装置的接地设计规范》GB/T50065-2011和GB/T 21431-2015《建筑物防雷装置检测技术规范》等国家现行规范。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第四条 检测成果</w:t>
      </w:r>
    </w:p>
    <w:p>
      <w:pPr>
        <w:snapToGrid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乙方根据GB/T 21431-2015《建筑物防雷装置检测技术规范》对防雷设施的质量进行综合评判并填写记录，向甲方出具具有法律效力的检测结论和有关报告。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第五条 检测期限</w:t>
      </w:r>
    </w:p>
    <w:p>
      <w:pPr>
        <w:snapToGrid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乙方应在本合同签订后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3 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日内开始进行检测，并在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20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日内完成全部检测工作，向甲方提交检测报告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4 </w:t>
      </w:r>
      <w:r>
        <w:rPr>
          <w:rFonts w:hint="eastAsia" w:ascii="仿宋_GB2312" w:hAnsi="仿宋_GB2312" w:eastAsia="仿宋_GB2312" w:cs="仿宋_GB2312"/>
          <w:sz w:val="32"/>
          <w:szCs w:val="32"/>
        </w:rPr>
        <w:t>份。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第六条 检测费用及支付方式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1.检测费用：根据GB 50057—2010《建筑物防雷设计规范》，本项目为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第二 </w:t>
      </w:r>
      <w:r>
        <w:rPr>
          <w:rFonts w:hint="eastAsia" w:ascii="仿宋_GB2312" w:hAnsi="仿宋_GB2312" w:eastAsia="仿宋_GB2312" w:cs="仿宋_GB2312"/>
          <w:sz w:val="32"/>
          <w:szCs w:val="32"/>
        </w:rPr>
        <w:t>类防雷建筑物。经采购程序确定，甲方需向乙方支付防雷装置检测服务费：（大写）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：    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圆整（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￥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     .00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元）（含税）。以上费用为乙方完成本合同规定的全部义务所需的费用总计，合同履行过程中乙方不得要求增加。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支付方式：本合同服务费以转账方式支付，乙方完成项目全部检测后，向甲方出具检测报告；甲方确认报告具备使用效力后，通知乙方开具等值真实合规有效发票；报告、发票核对无误后，一次性支付全部服务费用到合同约定的乙方账户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3.乙方收款账户基本信息为：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账户名称：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账号：</w:t>
      </w:r>
    </w:p>
    <w:p>
      <w:pPr>
        <w:ind w:firstLine="640" w:firstLineChars="200"/>
        <w:jc w:val="both"/>
        <w:rPr>
          <w:rFonts w:hint="eastAsia" w:eastAsia="宋体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若甲方放假、财政封账等因素暂时无法支付的，付款期限顺延，不属于违约。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第七条 甲方的权利义务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1.甲方应为乙方的检测工作提供必要的工作条件和工作便利，如提供工程的图纸资料、基本情况介绍，检测现场协调，保证检测现场设施、设备安全可靠等。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2.检测期限开始前，甲方应确保，检测项目具备可以开始检测的基本条件，否则检测期限顺延。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3.根据乙方提出的整改意见及时认真整改；按要求整改完毕后，向乙方提出复检要求。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4.按照合同要求，享有检测成果报告。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5.甲方依据本合同约定按时支付检测费用。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第八条 乙方的权利义务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1.乙方依据现行有效的技术标准、规范对甲方提供检测服务。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2.乙方按照本合同约定的检测期限，向甲方出具合法有效、可以供甲方用于申报备案的检测报告。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3.如发现防雷装置存在的问题，应当向甲方提出合理、经济的整改意见；在收到甲方复检要求后5个工作日内进行复检。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4.在检测过程中涉及到甲方所有相关信息、资料，除依法必须披露公开的以外，乙方均负有保密的义务；泄密的应向甲方支付本合同总金额3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%的违约金。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对检测结果负责，乙方应对检测结果（检测报告）不满足规范和主管部门要求造成的全部损失（包括但不限于甲方所支出的罚款、和解费、赔偿、诉讼费、律师费、差旅费等）负赔偿责任，并承担相应的法律责任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6.安全责任 ：乙方应要求其检测人员应严格按照《安全操作规范》进行检测。乙方在服务期间，如发生乙方人员自身的人身安全或者意外事故，或对甲方和第三方人员、财产造成损害的，所有责任由乙方全部承担。</w:t>
      </w:r>
    </w:p>
    <w:p>
      <w:pPr>
        <w:ind w:firstLine="640" w:firstLineChars="200"/>
        <w:jc w:val="both"/>
        <w:rPr>
          <w:rFonts w:hint="eastAsia" w:ascii="Tahoma" w:hAnsi="Tahoma" w:eastAsia="宋体" w:cstheme="minorBidi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及时服务：乙方提交有效报告逾期的，每逾期一日向甲方支付合同总价款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%的违约金；逾期超过1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日的，甲方有权在计收违约金的同时解除本合同，剩余费用不予支付。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第九条 合同解除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合同签订后，甲乙双方无故不能随意解除本合同。因甲方原因解除本合同的，已支付检测费用不予退还；未支付的检测费用，已经进行检测工作的，仍旧依照约定支付，未进行检测工作的，不再另行支付；因解除给乙方造成损失的，全额赔偿。因乙方原因解除本合同的，已收取检测费用全额退还。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第十条 附则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1.本协议未尽事宜，双方应当及时协商并共同签订补充协议，补充协议与本协议具同等法律效力。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2.因本合同履行产生纠纷，甲乙双方友好协商解决，解决不成向项目所在地人民法院起诉。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3.本协议一式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柒 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份，双方签字盖章后生效。甲方持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五 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份，乙方执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贰 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份，具同等法律效力。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（以下无正文，为签署页。）</w:t>
      </w:r>
      <w:bookmarkStart w:id="0" w:name="_GoBack"/>
      <w:bookmarkEnd w:id="0"/>
    </w:p>
    <w:tbl>
      <w:tblPr>
        <w:tblStyle w:val="28"/>
        <w:tblpPr w:leftFromText="180" w:rightFromText="180" w:vertAnchor="text" w:horzAnchor="page" w:tblpX="1412" w:tblpY="743"/>
        <w:tblOverlap w:val="never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9"/>
        <w:gridCol w:w="407"/>
        <w:gridCol w:w="42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389" w:type="dxa"/>
          </w:tcPr>
          <w:p>
            <w:pPr>
              <w:snapToGrid w:val="0"/>
              <w:spacing w:after="200" w:line="300" w:lineRule="auto"/>
              <w:ind w:left="840" w:hanging="840" w:hangingChars="300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napToGrid w:val="0"/>
              <w:spacing w:after="200" w:line="300" w:lineRule="auto"/>
              <w:ind w:left="840" w:hanging="840" w:hangingChars="3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甲方：</w:t>
            </w:r>
          </w:p>
        </w:tc>
        <w:tc>
          <w:tcPr>
            <w:tcW w:w="407" w:type="dxa"/>
          </w:tcPr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乙方：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389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甲方代表（签字）：</w:t>
            </w: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日期：    年   月    日             </w:t>
            </w:r>
          </w:p>
        </w:tc>
        <w:tc>
          <w:tcPr>
            <w:tcW w:w="407" w:type="dxa"/>
          </w:tcPr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乙方代表（签字）：</w:t>
            </w: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日期：  年    月     日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389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07" w:type="dxa"/>
          </w:tcPr>
          <w:p>
            <w:pPr>
              <w:snapToGrid w:val="0"/>
              <w:spacing w:after="200" w:line="300" w:lineRule="auto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>
            <w:pPr>
              <w:spacing w:after="200" w:line="300" w:lineRule="auto"/>
              <w:jc w:val="both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snapToGrid w:val="0"/>
        <w:spacing w:after="200" w:line="220" w:lineRule="atLeast"/>
        <w:rPr>
          <w:rFonts w:ascii="微软雅黑" w:hAnsi="微软雅黑" w:eastAsia="微软雅黑"/>
          <w:sz w:val="24"/>
          <w:szCs w:val="24"/>
        </w:rPr>
      </w:pPr>
    </w:p>
    <w:sectPr>
      <w:footerReference r:id="rId3" w:type="default"/>
      <w:pgSz w:w="11906" w:h="16838"/>
      <w:pgMar w:top="1928" w:right="1474" w:bottom="2041" w:left="1418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snapToGrid w:val="0"/>
      <w:spacing w:after="200"/>
      <w:jc w:val="center"/>
    </w:pPr>
    <w:r>
      <w:fldChar w:fldCharType="begin"/>
    </w:r>
    <w:r>
      <w:instrText xml:space="preserve">PAGE  \* MERGEFORMAT</w:instrText>
    </w:r>
    <w:r>
      <w:fldChar w:fldCharType="separate"/>
    </w:r>
    <w:r>
      <w:t>1</w:t>
    </w:r>
    <w:r>
      <w:fldChar w:fldCharType="end"/>
    </w:r>
  </w:p>
  <w:p>
    <w:pPr>
      <w:pStyle w:val="18"/>
      <w:snapToGrid w:val="0"/>
      <w:spacing w:after="2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1"/>
  <w:documentProtection w:enforcement="0"/>
  <w:defaultTabStop w:val="720"/>
  <w:displayHorizontalDrawingGridEvery w:val="0"/>
  <w:displayVerticalDrawingGridEvery w:val="2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xMThlNDkxZmM5ODE1ZTU2MWViYTA4ZDczNTJiNTcifQ=="/>
  </w:docVars>
  <w:rsids>
    <w:rsidRoot w:val="007D20AC"/>
    <w:rsid w:val="0003165D"/>
    <w:rsid w:val="000A759C"/>
    <w:rsid w:val="00212C2B"/>
    <w:rsid w:val="00266C02"/>
    <w:rsid w:val="00294D4B"/>
    <w:rsid w:val="003C1C9D"/>
    <w:rsid w:val="004244CA"/>
    <w:rsid w:val="00427CB1"/>
    <w:rsid w:val="006177AA"/>
    <w:rsid w:val="007D20AC"/>
    <w:rsid w:val="00800BBC"/>
    <w:rsid w:val="00857B19"/>
    <w:rsid w:val="00A9788A"/>
    <w:rsid w:val="00BA59C4"/>
    <w:rsid w:val="00C55F35"/>
    <w:rsid w:val="00CE41B3"/>
    <w:rsid w:val="00D81120"/>
    <w:rsid w:val="00DF7A00"/>
    <w:rsid w:val="00E025B0"/>
    <w:rsid w:val="00F3246B"/>
    <w:rsid w:val="076703EE"/>
    <w:rsid w:val="0A095B6F"/>
    <w:rsid w:val="11177FBC"/>
    <w:rsid w:val="11887A11"/>
    <w:rsid w:val="1BDA08B3"/>
    <w:rsid w:val="1FAC454B"/>
    <w:rsid w:val="22F37DD6"/>
    <w:rsid w:val="24C456A8"/>
    <w:rsid w:val="253241A6"/>
    <w:rsid w:val="26F356F3"/>
    <w:rsid w:val="2DFC3DFB"/>
    <w:rsid w:val="36B22EE5"/>
    <w:rsid w:val="383235C2"/>
    <w:rsid w:val="40255295"/>
    <w:rsid w:val="47927AC1"/>
    <w:rsid w:val="4A637A72"/>
    <w:rsid w:val="4FE70564"/>
    <w:rsid w:val="50370AF9"/>
    <w:rsid w:val="54F823D2"/>
    <w:rsid w:val="63A968DA"/>
    <w:rsid w:val="65402D32"/>
    <w:rsid w:val="76A11B7D"/>
    <w:rsid w:val="7BE35EE2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rPr>
      <w:rFonts w:ascii="Tahoma" w:hAnsi="Tahoma" w:eastAsia="Tahoma" w:cstheme="minorBidi"/>
      <w:sz w:val="22"/>
      <w:szCs w:val="22"/>
      <w:lang w:val="en-US" w:eastAsia="zh-CN" w:bidi="ar-SA"/>
    </w:rPr>
  </w:style>
  <w:style w:type="paragraph" w:styleId="3">
    <w:name w:val="heading 1"/>
    <w:next w:val="1"/>
    <w:qFormat/>
    <w:uiPriority w:val="7"/>
    <w:pPr>
      <w:jc w:val="both"/>
      <w:outlineLvl w:val="0"/>
    </w:pPr>
    <w:rPr>
      <w:rFonts w:ascii="Calibri" w:hAnsi="Calibri" w:eastAsia="微软雅黑" w:cstheme="minorBidi"/>
      <w:sz w:val="28"/>
      <w:szCs w:val="28"/>
      <w:lang w:val="en-US" w:eastAsia="zh-CN" w:bidi="ar-SA"/>
    </w:rPr>
  </w:style>
  <w:style w:type="paragraph" w:styleId="4">
    <w:name w:val="heading 2"/>
    <w:next w:val="1"/>
    <w:qFormat/>
    <w:uiPriority w:val="8"/>
    <w:pPr>
      <w:jc w:val="both"/>
      <w:outlineLvl w:val="1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5">
    <w:name w:val="heading 3"/>
    <w:next w:val="1"/>
    <w:qFormat/>
    <w:uiPriority w:val="9"/>
    <w:pPr>
      <w:ind w:left="1000" w:hanging="400"/>
      <w:jc w:val="both"/>
      <w:outlineLvl w:val="2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6">
    <w:name w:val="heading 4"/>
    <w:next w:val="1"/>
    <w:qFormat/>
    <w:uiPriority w:val="10"/>
    <w:pPr>
      <w:ind w:left="1200" w:hanging="400"/>
      <w:jc w:val="both"/>
      <w:outlineLvl w:val="3"/>
    </w:pPr>
    <w:rPr>
      <w:rFonts w:ascii="Calibri" w:hAnsi="Calibri" w:eastAsia="微软雅黑" w:cstheme="minorBidi"/>
      <w:b/>
      <w:sz w:val="21"/>
      <w:szCs w:val="21"/>
      <w:lang w:val="en-US" w:eastAsia="zh-CN" w:bidi="ar-SA"/>
    </w:rPr>
  </w:style>
  <w:style w:type="paragraph" w:styleId="7">
    <w:name w:val="heading 5"/>
    <w:next w:val="1"/>
    <w:qFormat/>
    <w:uiPriority w:val="11"/>
    <w:pPr>
      <w:ind w:left="1400" w:hanging="400"/>
      <w:jc w:val="both"/>
      <w:outlineLvl w:val="4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8">
    <w:name w:val="heading 6"/>
    <w:next w:val="1"/>
    <w:qFormat/>
    <w:uiPriority w:val="12"/>
    <w:pPr>
      <w:ind w:left="1600" w:hanging="400"/>
      <w:jc w:val="both"/>
      <w:outlineLvl w:val="5"/>
    </w:pPr>
    <w:rPr>
      <w:rFonts w:ascii="Calibri" w:hAnsi="Calibri" w:eastAsia="微软雅黑" w:cstheme="minorBidi"/>
      <w:b/>
      <w:sz w:val="21"/>
      <w:szCs w:val="21"/>
      <w:lang w:val="en-US" w:eastAsia="zh-CN" w:bidi="ar-SA"/>
    </w:rPr>
  </w:style>
  <w:style w:type="paragraph" w:styleId="9">
    <w:name w:val="heading 7"/>
    <w:next w:val="1"/>
    <w:qFormat/>
    <w:uiPriority w:val="13"/>
    <w:pPr>
      <w:ind w:left="1800" w:hanging="400"/>
      <w:jc w:val="both"/>
      <w:outlineLvl w:val="6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0">
    <w:name w:val="heading 8"/>
    <w:next w:val="1"/>
    <w:qFormat/>
    <w:uiPriority w:val="14"/>
    <w:pPr>
      <w:ind w:left="2000" w:hanging="400"/>
      <w:jc w:val="both"/>
      <w:outlineLvl w:val="7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1">
    <w:name w:val="heading 9"/>
    <w:next w:val="1"/>
    <w:qFormat/>
    <w:uiPriority w:val="15"/>
    <w:pPr>
      <w:ind w:left="2200" w:hanging="400"/>
      <w:jc w:val="both"/>
      <w:outlineLvl w:val="8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character" w:default="1" w:styleId="29">
    <w:name w:val="Default Paragraph Font"/>
    <w:semiHidden/>
    <w:unhideWhenUsed/>
    <w:uiPriority w:val="1"/>
  </w:style>
  <w:style w:type="table" w:default="1" w:styleId="2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uiPriority w:val="0"/>
    <w:pPr>
      <w:spacing w:after="160"/>
      <w:jc w:val="both"/>
      <w:textAlignment w:val="baseline"/>
    </w:pPr>
    <w:rPr>
      <w:rFonts w:ascii="宋体" w:hAnsi="宋体" w:eastAsia="Calibri" w:cs="Times New Roman"/>
      <w:sz w:val="28"/>
      <w:szCs w:val="32"/>
    </w:rPr>
  </w:style>
  <w:style w:type="paragraph" w:styleId="12">
    <w:name w:val="toc 7"/>
    <w:next w:val="1"/>
    <w:unhideWhenUsed/>
    <w:qFormat/>
    <w:uiPriority w:val="34"/>
    <w:pPr>
      <w:ind w:left="255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3">
    <w:name w:val="annotation text"/>
    <w:basedOn w:val="1"/>
    <w:link w:val="46"/>
    <w:unhideWhenUsed/>
    <w:qFormat/>
    <w:uiPriority w:val="0"/>
  </w:style>
  <w:style w:type="paragraph" w:styleId="14">
    <w:name w:val="toc 5"/>
    <w:next w:val="1"/>
    <w:unhideWhenUsed/>
    <w:qFormat/>
    <w:uiPriority w:val="32"/>
    <w:pPr>
      <w:ind w:left="170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5">
    <w:name w:val="toc 3"/>
    <w:next w:val="1"/>
    <w:unhideWhenUsed/>
    <w:qFormat/>
    <w:uiPriority w:val="30"/>
    <w:pPr>
      <w:ind w:left="85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6">
    <w:name w:val="toc 8"/>
    <w:next w:val="1"/>
    <w:unhideWhenUsed/>
    <w:qFormat/>
    <w:uiPriority w:val="35"/>
    <w:pPr>
      <w:ind w:left="297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17">
    <w:name w:val="Balloon Text"/>
    <w:basedOn w:val="1"/>
    <w:link w:val="45"/>
    <w:unhideWhenUsed/>
    <w:qFormat/>
    <w:uiPriority w:val="0"/>
    <w:rPr>
      <w:sz w:val="18"/>
      <w:szCs w:val="18"/>
    </w:rPr>
  </w:style>
  <w:style w:type="paragraph" w:styleId="18">
    <w:name w:val="footer"/>
    <w:basedOn w:val="1"/>
    <w:link w:val="44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9">
    <w:name w:val="header"/>
    <w:basedOn w:val="1"/>
    <w:link w:val="43"/>
    <w:unhideWhenUsed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0">
    <w:name w:val="toc 1"/>
    <w:next w:val="1"/>
    <w:unhideWhenUsed/>
    <w:qFormat/>
    <w:uiPriority w:val="28"/>
    <w:pPr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1">
    <w:name w:val="toc 4"/>
    <w:next w:val="1"/>
    <w:unhideWhenUsed/>
    <w:qFormat/>
    <w:uiPriority w:val="31"/>
    <w:pPr>
      <w:ind w:left="127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2">
    <w:name w:val="Subtitle"/>
    <w:qFormat/>
    <w:uiPriority w:val="16"/>
    <w:pPr>
      <w:jc w:val="center"/>
    </w:pPr>
    <w:rPr>
      <w:rFonts w:ascii="Calibri" w:hAnsi="Calibri" w:eastAsia="微软雅黑" w:cstheme="minorBidi"/>
      <w:sz w:val="24"/>
      <w:szCs w:val="24"/>
      <w:lang w:val="en-US" w:eastAsia="zh-CN" w:bidi="ar-SA"/>
    </w:rPr>
  </w:style>
  <w:style w:type="paragraph" w:styleId="23">
    <w:name w:val="toc 6"/>
    <w:next w:val="1"/>
    <w:unhideWhenUsed/>
    <w:qFormat/>
    <w:uiPriority w:val="33"/>
    <w:pPr>
      <w:ind w:left="212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4">
    <w:name w:val="toc 2"/>
    <w:next w:val="1"/>
    <w:unhideWhenUsed/>
    <w:qFormat/>
    <w:uiPriority w:val="29"/>
    <w:pPr>
      <w:ind w:left="425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5">
    <w:name w:val="toc 9"/>
    <w:next w:val="1"/>
    <w:unhideWhenUsed/>
    <w:qFormat/>
    <w:uiPriority w:val="36"/>
    <w:pPr>
      <w:ind w:left="340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styleId="26">
    <w:name w:val="Title"/>
    <w:qFormat/>
    <w:uiPriority w:val="6"/>
    <w:pPr>
      <w:jc w:val="center"/>
    </w:pPr>
    <w:rPr>
      <w:rFonts w:ascii="Calibri" w:hAnsi="Calibri" w:eastAsia="微软雅黑" w:cstheme="minorBidi"/>
      <w:b/>
      <w:sz w:val="32"/>
      <w:szCs w:val="32"/>
      <w:lang w:val="en-US" w:eastAsia="zh-CN" w:bidi="ar-SA"/>
    </w:rPr>
  </w:style>
  <w:style w:type="paragraph" w:styleId="27">
    <w:name w:val="annotation subject"/>
    <w:next w:val="13"/>
    <w:link w:val="47"/>
    <w:unhideWhenUsed/>
    <w:qFormat/>
    <w:uiPriority w:val="0"/>
    <w:rPr>
      <w:rFonts w:ascii="Calibri" w:hAnsi="Calibri" w:eastAsia="微软雅黑" w:cstheme="minorBidi"/>
      <w:b/>
      <w:lang w:val="en-US" w:eastAsia="zh-CN" w:bidi="ar-SA"/>
    </w:rPr>
  </w:style>
  <w:style w:type="character" w:styleId="30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31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character" w:styleId="32">
    <w:name w:val="annotation reference"/>
    <w:basedOn w:val="29"/>
    <w:unhideWhenUsed/>
    <w:qFormat/>
    <w:uiPriority w:val="0"/>
    <w:rPr>
      <w:w w:val="100"/>
      <w:sz w:val="21"/>
      <w:szCs w:val="21"/>
      <w:shd w:val="clear" w:color="auto" w:fill="auto"/>
    </w:rPr>
  </w:style>
  <w:style w:type="paragraph" w:styleId="33">
    <w:name w:val="No Spacing"/>
    <w:qFormat/>
    <w:uiPriority w:val="5"/>
    <w:pPr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character" w:customStyle="1" w:styleId="34">
    <w:name w:val="不明显强调1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5">
    <w:name w:val="明显强调1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6">
    <w:name w:val="Quote"/>
    <w:qFormat/>
    <w:uiPriority w:val="21"/>
    <w:pPr>
      <w:ind w:left="864" w:right="864"/>
      <w:jc w:val="center"/>
    </w:pPr>
    <w:rPr>
      <w:rFonts w:ascii="Calibri" w:hAnsi="Calibri" w:eastAsia="微软雅黑" w:cstheme="minorBidi"/>
      <w:i/>
      <w:color w:val="404040"/>
      <w:sz w:val="21"/>
      <w:szCs w:val="21"/>
      <w:lang w:val="en-US" w:eastAsia="zh-CN" w:bidi="ar-SA"/>
    </w:rPr>
  </w:style>
  <w:style w:type="paragraph" w:styleId="37">
    <w:name w:val="Intense Quote"/>
    <w:qFormat/>
    <w:uiPriority w:val="22"/>
    <w:pPr>
      <w:ind w:left="950" w:right="950"/>
      <w:jc w:val="center"/>
    </w:pPr>
    <w:rPr>
      <w:rFonts w:ascii="Calibri" w:hAnsi="Calibri" w:eastAsia="微软雅黑" w:cstheme="minorBidi"/>
      <w:i/>
      <w:color w:val="5B9BD5"/>
      <w:sz w:val="21"/>
      <w:szCs w:val="21"/>
      <w:lang w:val="en-US" w:eastAsia="zh-CN" w:bidi="ar-SA"/>
    </w:rPr>
  </w:style>
  <w:style w:type="character" w:customStyle="1" w:styleId="38">
    <w:name w:val="不明显参考1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9">
    <w:name w:val="明显参考1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40">
    <w:name w:val="书籍标题1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41">
    <w:name w:val="List Paragraph"/>
    <w:qFormat/>
    <w:uiPriority w:val="26"/>
    <w:pPr>
      <w:ind w:left="850"/>
      <w:jc w:val="both"/>
    </w:pPr>
    <w:rPr>
      <w:rFonts w:ascii="Calibri" w:hAnsi="Calibri" w:eastAsia="微软雅黑" w:cstheme="minorBidi"/>
      <w:sz w:val="21"/>
      <w:szCs w:val="21"/>
      <w:lang w:val="en-US" w:eastAsia="zh-CN" w:bidi="ar-SA"/>
    </w:rPr>
  </w:style>
  <w:style w:type="paragraph" w:customStyle="1" w:styleId="42">
    <w:name w:val="TOC 标题1"/>
    <w:unhideWhenUsed/>
    <w:qFormat/>
    <w:uiPriority w:val="27"/>
    <w:rPr>
      <w:rFonts w:ascii="Calibri" w:hAnsi="Calibri" w:eastAsia="微软雅黑" w:cstheme="minorBidi"/>
      <w:color w:val="2E74B5"/>
      <w:sz w:val="32"/>
      <w:szCs w:val="32"/>
      <w:lang w:val="en-US" w:eastAsia="zh-CN" w:bidi="ar-SA"/>
    </w:rPr>
  </w:style>
  <w:style w:type="character" w:customStyle="1" w:styleId="43">
    <w:name w:val="页眉 字符"/>
    <w:basedOn w:val="29"/>
    <w:link w:val="19"/>
    <w:semiHidden/>
    <w:qFormat/>
    <w:uiPriority w:val="0"/>
    <w:rPr>
      <w:rFonts w:ascii="Tahoma" w:hAnsi="Tahoma" w:eastAsia="Tahoma"/>
      <w:w w:val="100"/>
      <w:sz w:val="18"/>
      <w:szCs w:val="18"/>
      <w:shd w:val="clear" w:color="auto" w:fill="auto"/>
    </w:rPr>
  </w:style>
  <w:style w:type="character" w:customStyle="1" w:styleId="44">
    <w:name w:val="页脚 字符"/>
    <w:basedOn w:val="29"/>
    <w:link w:val="18"/>
    <w:qFormat/>
    <w:uiPriority w:val="0"/>
    <w:rPr>
      <w:rFonts w:ascii="Tahoma" w:hAnsi="Tahoma" w:eastAsia="Tahoma"/>
      <w:w w:val="100"/>
      <w:sz w:val="18"/>
      <w:szCs w:val="18"/>
      <w:shd w:val="clear" w:color="auto" w:fill="auto"/>
    </w:rPr>
  </w:style>
  <w:style w:type="character" w:customStyle="1" w:styleId="45">
    <w:name w:val="批注框文本 字符"/>
    <w:basedOn w:val="29"/>
    <w:link w:val="17"/>
    <w:semiHidden/>
    <w:qFormat/>
    <w:uiPriority w:val="0"/>
    <w:rPr>
      <w:rFonts w:ascii="Tahoma" w:hAnsi="Tahoma" w:eastAsia="Tahoma"/>
      <w:w w:val="100"/>
      <w:sz w:val="18"/>
      <w:szCs w:val="18"/>
      <w:shd w:val="clear" w:color="auto" w:fill="auto"/>
    </w:rPr>
  </w:style>
  <w:style w:type="character" w:customStyle="1" w:styleId="46">
    <w:name w:val="批注文字 字符"/>
    <w:basedOn w:val="29"/>
    <w:link w:val="13"/>
    <w:semiHidden/>
    <w:qFormat/>
    <w:uiPriority w:val="0"/>
    <w:rPr>
      <w:rFonts w:ascii="Tahoma" w:hAnsi="Tahoma" w:eastAsia="Tahoma"/>
      <w:w w:val="100"/>
      <w:sz w:val="22"/>
      <w:szCs w:val="22"/>
      <w:shd w:val="clear" w:color="auto" w:fill="auto"/>
    </w:rPr>
  </w:style>
  <w:style w:type="character" w:customStyle="1" w:styleId="47">
    <w:name w:val="批注主题 字符"/>
    <w:basedOn w:val="46"/>
    <w:link w:val="27"/>
    <w:semiHidden/>
    <w:qFormat/>
    <w:uiPriority w:val="0"/>
    <w:rPr>
      <w:rFonts w:ascii="Tahoma" w:hAnsi="Tahoma" w:eastAsia="Tahoma"/>
      <w:b/>
      <w:w w:val="100"/>
      <w:sz w:val="20"/>
      <w:szCs w:val="20"/>
      <w:shd w:val="clear" w:color="auto" w:fill="auto"/>
    </w:rPr>
  </w:style>
  <w:style w:type="character" w:customStyle="1" w:styleId="48">
    <w:name w:val="NormalCharacter"/>
    <w:semiHidden/>
    <w:qFormat/>
    <w:uiPriority w:val="0"/>
    <w:rPr>
      <w:rFonts w:ascii="Tahoma" w:hAnsi="Tahoma" w:eastAsia="Tahoma" w:cstheme="minorBidi"/>
      <w:sz w:val="22"/>
      <w:szCs w:val="22"/>
      <w:lang w:val="en-US" w:eastAsia="zh-CN" w:bidi="ar-SA"/>
    </w:rPr>
  </w:style>
  <w:style w:type="paragraph" w:customStyle="1" w:styleId="49">
    <w:name w:val="Revision"/>
    <w:hidden/>
    <w:unhideWhenUsed/>
    <w:uiPriority w:val="99"/>
    <w:rPr>
      <w:rFonts w:ascii="Tahoma" w:hAnsi="Tahoma" w:eastAsia="Tahoma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345</Words>
  <Characters>1967</Characters>
  <Lines>16</Lines>
  <Paragraphs>4</Paragraphs>
  <TotalTime>79</TotalTime>
  <ScaleCrop>false</ScaleCrop>
  <LinksUpToDate>false</LinksUpToDate>
  <CharactersWithSpaces>2308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2018-10-09T06:55:00Z</dcterms:created>
  <dc:creator>king</dc:creator>
  <cp:lastModifiedBy>早起去遛弯</cp:lastModifiedBy>
  <cp:lastPrinted>2020-12-30T00:55:00Z</cp:lastPrinted>
  <dcterms:modified xsi:type="dcterms:W3CDTF">2023-09-05T00:50:38Z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0E4598D6A4EB4577BFCE02BB1DF4B373_13</vt:lpwstr>
  </property>
</Properties>
</file>