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200" w:line="220" w:lineRule="atLeast"/>
        <w:jc w:val="center"/>
        <w:rPr>
          <w:rFonts w:ascii="宋体" w:hAnsi="宋体" w:eastAsia="宋体"/>
          <w:sz w:val="36"/>
          <w:szCs w:val="36"/>
        </w:rPr>
      </w:pPr>
    </w:p>
    <w:p>
      <w:pPr>
        <w:snapToGrid w:val="0"/>
        <w:spacing w:after="200" w:line="220" w:lineRule="atLeast"/>
        <w:jc w:val="center"/>
        <w:rPr>
          <w:rFonts w:ascii="宋体" w:hAnsi="宋体" w:eastAsia="宋体"/>
          <w:sz w:val="36"/>
          <w:szCs w:val="36"/>
        </w:rPr>
      </w:pPr>
    </w:p>
    <w:p>
      <w:pPr>
        <w:snapToGrid w:val="0"/>
        <w:spacing w:after="200" w:line="220" w:lineRule="atLeast"/>
        <w:jc w:val="center"/>
        <w:rPr>
          <w:rFonts w:ascii="宋体" w:hAnsi="宋体" w:eastAsia="宋体"/>
          <w:sz w:val="36"/>
          <w:szCs w:val="36"/>
        </w:rPr>
      </w:pPr>
    </w:p>
    <w:p>
      <w:pPr>
        <w:snapToGrid w:val="0"/>
        <w:spacing w:after="200"/>
        <w:jc w:val="center"/>
        <w:outlineLvl w:val="0"/>
        <w:rPr>
          <w:rFonts w:ascii="黑体" w:hAnsi="黑体" w:eastAsia="黑体" w:cs="黑体"/>
          <w:b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洛阳</w:t>
      </w:r>
      <w:r>
        <w:rPr>
          <w:rFonts w:ascii="黑体" w:hAnsi="黑体" w:eastAsia="黑体" w:cs="黑体"/>
          <w:b/>
          <w:color w:val="auto"/>
          <w:sz w:val="44"/>
          <w:szCs w:val="44"/>
        </w:rPr>
        <w:t>职业技术学院</w:t>
      </w: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新</w:t>
      </w:r>
      <w:r>
        <w:rPr>
          <w:rFonts w:ascii="黑体" w:hAnsi="黑体" w:eastAsia="黑体" w:cs="黑体"/>
          <w:b/>
          <w:color w:val="auto"/>
          <w:sz w:val="44"/>
          <w:szCs w:val="44"/>
        </w:rPr>
        <w:t>校区</w:t>
      </w:r>
    </w:p>
    <w:p>
      <w:pPr>
        <w:snapToGrid w:val="0"/>
        <w:spacing w:after="200"/>
        <w:jc w:val="center"/>
        <w:outlineLvl w:val="0"/>
        <w:rPr>
          <w:rFonts w:ascii="黑体" w:hAnsi="黑体" w:eastAsia="黑体" w:cs="黑体"/>
          <w:b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二期项目供配电工程申请报告</w:t>
      </w:r>
      <w:r>
        <w:rPr>
          <w:rFonts w:ascii="黑体" w:hAnsi="黑体" w:eastAsia="黑体" w:cs="黑体"/>
          <w:b/>
          <w:color w:val="auto"/>
          <w:sz w:val="44"/>
          <w:szCs w:val="44"/>
        </w:rPr>
        <w:t>第三方评审</w:t>
      </w:r>
    </w:p>
    <w:p>
      <w:pPr>
        <w:snapToGrid w:val="0"/>
        <w:spacing w:after="200" w:line="220" w:lineRule="atLeast"/>
        <w:jc w:val="center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b/>
          <w:color w:val="auto"/>
          <w:sz w:val="44"/>
          <w:szCs w:val="44"/>
        </w:rPr>
        <w:t>工作</w:t>
      </w: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委托合同</w:t>
      </w:r>
    </w:p>
    <w:p>
      <w:pPr>
        <w:snapToGrid w:val="0"/>
        <w:spacing w:after="200" w:line="220" w:lineRule="atLeast"/>
        <w:rPr>
          <w:rFonts w:ascii="宋体" w:hAnsi="宋体" w:eastAsia="宋体"/>
          <w:color w:val="auto"/>
          <w:sz w:val="32"/>
          <w:szCs w:val="32"/>
        </w:rPr>
      </w:pPr>
    </w:p>
    <w:p>
      <w:pPr>
        <w:snapToGrid w:val="0"/>
        <w:spacing w:after="200" w:line="220" w:lineRule="atLeast"/>
        <w:rPr>
          <w:rFonts w:ascii="宋体" w:hAnsi="宋体" w:eastAsia="宋体"/>
          <w:color w:val="auto"/>
          <w:sz w:val="32"/>
          <w:szCs w:val="32"/>
        </w:rPr>
      </w:pPr>
    </w:p>
    <w:p>
      <w:pPr>
        <w:snapToGrid w:val="0"/>
        <w:spacing w:after="200" w:line="220" w:lineRule="atLeast"/>
        <w:rPr>
          <w:rFonts w:ascii="宋体" w:hAnsi="宋体" w:eastAsia="宋体"/>
          <w:color w:val="auto"/>
          <w:sz w:val="32"/>
          <w:szCs w:val="32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color w:val="auto"/>
          <w:sz w:val="28"/>
          <w:szCs w:val="28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color w:val="auto"/>
          <w:sz w:val="28"/>
          <w:szCs w:val="28"/>
        </w:rPr>
      </w:pPr>
    </w:p>
    <w:p>
      <w:pPr>
        <w:snapToGrid w:val="0"/>
        <w:spacing w:after="200" w:line="300" w:lineRule="auto"/>
        <w:ind w:firstLine="640"/>
        <w:rPr>
          <w:rFonts w:ascii="黑体" w:hAnsi="黑体" w:eastAsia="黑体"/>
          <w:color w:val="auto"/>
          <w:sz w:val="32"/>
          <w:szCs w:val="32"/>
        </w:rPr>
      </w:pPr>
      <w:r>
        <w:rPr>
          <w:rFonts w:ascii="黑体" w:hAnsi="黑体" w:eastAsia="黑体"/>
          <w:color w:val="auto"/>
          <w:sz w:val="32"/>
          <w:szCs w:val="32"/>
        </w:rPr>
        <w:t xml:space="preserve">      </w:t>
      </w:r>
      <w:r>
        <w:rPr>
          <w:rFonts w:hint="eastAsia" w:ascii="黑体" w:hAnsi="黑体" w:eastAsia="黑体"/>
          <w:color w:val="auto"/>
          <w:sz w:val="32"/>
          <w:szCs w:val="32"/>
        </w:rPr>
        <w:t>委托单位</w:t>
      </w:r>
      <w:r>
        <w:rPr>
          <w:rFonts w:ascii="黑体" w:hAnsi="黑体" w:eastAsia="黑体"/>
          <w:color w:val="auto"/>
          <w:sz w:val="32"/>
          <w:szCs w:val="32"/>
        </w:rPr>
        <w:t>：</w:t>
      </w:r>
      <w:r>
        <w:rPr>
          <w:rFonts w:hint="eastAsia" w:ascii="黑体" w:hAnsi="黑体" w:eastAsia="黑体"/>
          <w:color w:val="auto"/>
          <w:sz w:val="32"/>
          <w:szCs w:val="32"/>
        </w:rPr>
        <w:t>洛阳职业技术学院</w:t>
      </w:r>
    </w:p>
    <w:p>
      <w:pPr>
        <w:snapToGrid w:val="0"/>
        <w:spacing w:after="200" w:line="300" w:lineRule="auto"/>
        <w:ind w:firstLine="640"/>
        <w:rPr>
          <w:rFonts w:ascii="黑体" w:hAnsi="黑体" w:eastAsia="黑体"/>
          <w:color w:val="auto"/>
          <w:sz w:val="32"/>
          <w:szCs w:val="32"/>
        </w:rPr>
      </w:pPr>
      <w:r>
        <w:rPr>
          <w:rFonts w:ascii="黑体" w:hAnsi="黑体" w:eastAsia="黑体"/>
          <w:color w:val="auto"/>
          <w:sz w:val="32"/>
          <w:szCs w:val="32"/>
        </w:rPr>
        <w:t xml:space="preserve">   </w:t>
      </w:r>
    </w:p>
    <w:p>
      <w:pPr>
        <w:snapToGrid w:val="0"/>
        <w:spacing w:after="200" w:line="300" w:lineRule="auto"/>
        <w:ind w:firstLine="1120" w:firstLineChars="350"/>
        <w:rPr>
          <w:rFonts w:ascii="黑体" w:hAnsi="黑体" w:eastAsia="黑体"/>
          <w:color w:val="auto"/>
          <w:sz w:val="32"/>
          <w:szCs w:val="32"/>
        </w:rPr>
      </w:pPr>
      <w:r>
        <w:rPr>
          <w:rFonts w:ascii="黑体" w:hAnsi="黑体" w:eastAsia="黑体"/>
          <w:color w:val="auto"/>
          <w:sz w:val="32"/>
          <w:szCs w:val="32"/>
        </w:rPr>
        <w:t xml:space="preserve">   </w:t>
      </w:r>
      <w:r>
        <w:rPr>
          <w:rFonts w:hint="eastAsia" w:ascii="黑体" w:hAnsi="黑体" w:eastAsia="黑体"/>
          <w:color w:val="auto"/>
          <w:sz w:val="32"/>
          <w:szCs w:val="32"/>
        </w:rPr>
        <w:t>编制单位</w:t>
      </w:r>
      <w:r>
        <w:rPr>
          <w:rFonts w:ascii="黑体" w:hAnsi="黑体" w:eastAsia="黑体"/>
          <w:color w:val="auto"/>
          <w:sz w:val="32"/>
          <w:szCs w:val="32"/>
        </w:rPr>
        <w:t>：</w:t>
      </w:r>
    </w:p>
    <w:p>
      <w:pPr>
        <w:snapToGrid w:val="0"/>
        <w:spacing w:after="200" w:line="300" w:lineRule="auto"/>
        <w:ind w:firstLine="640"/>
        <w:rPr>
          <w:rFonts w:ascii="宋体" w:hAnsi="宋体" w:eastAsia="宋体"/>
          <w:color w:val="auto"/>
          <w:sz w:val="28"/>
          <w:szCs w:val="28"/>
        </w:rPr>
      </w:pPr>
      <w:r>
        <w:rPr>
          <w:rFonts w:ascii="宋体" w:hAnsi="宋体" w:eastAsia="宋体"/>
          <w:color w:val="auto"/>
          <w:sz w:val="28"/>
          <w:szCs w:val="28"/>
        </w:rPr>
        <w:t xml:space="preserve">       </w:t>
      </w:r>
      <w:r>
        <w:rPr>
          <w:rFonts w:hint="eastAsia" w:ascii="黑体" w:hAnsi="黑体" w:eastAsia="黑体"/>
          <w:color w:val="auto"/>
          <w:sz w:val="32"/>
          <w:szCs w:val="32"/>
        </w:rPr>
        <w:t>编制资质：</w:t>
      </w:r>
    </w:p>
    <w:p>
      <w:pPr>
        <w:rPr>
          <w:rFonts w:ascii="宋体" w:hAnsi="宋体" w:eastAsia="宋体"/>
          <w:color w:val="auto"/>
          <w:sz w:val="28"/>
          <w:szCs w:val="28"/>
        </w:rPr>
      </w:pPr>
      <w:r>
        <w:rPr>
          <w:rFonts w:ascii="宋体" w:hAnsi="宋体" w:eastAsia="宋体"/>
          <w:color w:val="auto"/>
          <w:sz w:val="28"/>
          <w:szCs w:val="28"/>
        </w:rPr>
        <w:br w:type="page"/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委托单位：洛阳职业技术学院       （以下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简称甲方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>
      <w:pPr>
        <w:ind w:firstLine="640" w:firstLineChars="200"/>
        <w:rPr>
          <w:rFonts w:ascii="宋体" w:hAnsi="宋体" w:eastAsia="宋体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编制单位：  </w:t>
      </w:r>
      <w:r>
        <w:rPr>
          <w:rFonts w:ascii="宋体" w:hAnsi="宋体" w:eastAsia="宋体"/>
          <w:color w:val="auto"/>
          <w:sz w:val="28"/>
          <w:szCs w:val="28"/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（以下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简称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乙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甲方经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询价程序，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洛阳职业技术学院新校区二期项目供配电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>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申请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>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第三方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>评审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委托给乙方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承担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，双方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依照《中华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人民共和国民法典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》《中华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人民共和国建筑法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》《建设工程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勘察设计合同细则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》等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有关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规定签订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本合同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，以供共同遵守执行。</w:t>
      </w:r>
    </w:p>
    <w:p>
      <w:pPr>
        <w:ind w:firstLine="200"/>
        <w:rPr>
          <w:rFonts w:eastAsia="宋体"/>
          <w:color w:val="auto"/>
        </w:rPr>
      </w:pPr>
    </w:p>
    <w:p>
      <w:pPr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</w:t>
      </w:r>
      <w:r>
        <w:rPr>
          <w:rFonts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工程</w:t>
      </w:r>
      <w:r>
        <w:rPr>
          <w:rFonts w:ascii="黑体" w:hAnsi="黑体" w:eastAsia="黑体" w:cs="黑体"/>
          <w:color w:val="auto"/>
          <w:sz w:val="32"/>
          <w:szCs w:val="32"/>
        </w:rPr>
        <w:t>概况：</w:t>
      </w:r>
    </w:p>
    <w:p>
      <w:pPr>
        <w:pStyle w:val="26"/>
        <w:spacing w:before="0" w:beforeAutospacing="0" w:after="0" w:afterAutospacing="0"/>
        <w:ind w:left="44" w:leftChars="20"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1、工程名称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>洛阳职业技术学院新校区二期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项目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>供配电工程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申请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>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第三方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>评审工作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工程地点：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>河南省洛阳市伊滨区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范围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及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内容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fldChar w:fldCharType="begin"/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instrText xml:space="preserve">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instrText xml:space="preserve">= 1 \* GB3</w:instrTex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instrText xml:space="preserve"> </w:instrTex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①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fldChar w:fldCharType="end"/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照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相关文件要求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甲方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新校区</w:t>
      </w:r>
      <w:r>
        <w:rPr>
          <w:rFonts w:hint="eastAsia" w:ascii="仿宋_GB2312" w:hAnsi="仿宋_GB2312" w:eastAsia="仿宋_GB2312" w:cs="仿宋_GB2312"/>
          <w:color w:val="auto"/>
          <w:sz w:val="32"/>
        </w:rPr>
        <w:t>二期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项目供配电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工程申请报告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组织并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完成第三方评审</w:t>
      </w:r>
      <w:r>
        <w:rPr>
          <w:rFonts w:hint="eastAsia" w:ascii="仿宋_GB2312" w:hAnsi="仿宋_GB2312" w:eastAsia="仿宋_GB2312" w:cs="仿宋_GB2312"/>
          <w:color w:val="auto"/>
          <w:sz w:val="32"/>
        </w:rPr>
        <w:t>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ascii="仿宋_GB2312" w:hAnsi="仿宋_GB2312" w:eastAsia="仿宋_GB2312" w:cs="仿宋_GB2312"/>
          <w:color w:val="auto"/>
          <w:sz w:val="32"/>
        </w:rPr>
        <w:fldChar w:fldCharType="begin"/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hint="eastAsia" w:ascii="仿宋_GB2312" w:hAnsi="仿宋_GB2312" w:eastAsia="仿宋_GB2312" w:cs="仿宋_GB2312"/>
          <w:color w:val="auto"/>
          <w:sz w:val="32"/>
        </w:rPr>
        <w:instrText xml:space="preserve">= 2 \* GB3</w:instrText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ascii="仿宋_GB2312" w:hAnsi="仿宋_GB2312" w:eastAsia="仿宋_GB2312" w:cs="仿宋_GB2312"/>
          <w:color w:val="auto"/>
          <w:sz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</w:rPr>
        <w:t>②</w:t>
      </w:r>
      <w:r>
        <w:rPr>
          <w:rFonts w:ascii="仿宋_GB2312" w:hAnsi="仿宋_GB2312" w:eastAsia="仿宋_GB2312" w:cs="仿宋_GB2312"/>
          <w:color w:val="auto"/>
          <w:sz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</w:rPr>
        <w:t>编制</w:t>
      </w:r>
      <w:r>
        <w:rPr>
          <w:rFonts w:ascii="仿宋_GB2312" w:hAnsi="仿宋_GB2312" w:eastAsia="仿宋_GB2312" w:cs="仿宋_GB2312"/>
          <w:color w:val="auto"/>
          <w:sz w:val="32"/>
        </w:rPr>
        <w:t>我校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新校区</w:t>
      </w:r>
      <w:r>
        <w:rPr>
          <w:rFonts w:hint="eastAsia" w:ascii="仿宋_GB2312" w:hAnsi="仿宋_GB2312" w:eastAsia="仿宋_GB2312" w:cs="仿宋_GB2312"/>
          <w:color w:val="auto"/>
          <w:sz w:val="32"/>
        </w:rPr>
        <w:t>二期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项目供配电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工程申请报告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评审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意见及立项备案等相关资料</w:t>
      </w:r>
      <w:r>
        <w:rPr>
          <w:rFonts w:hint="eastAsia" w:ascii="仿宋_GB2312" w:hAnsi="仿宋_GB2312" w:eastAsia="仿宋_GB2312" w:cs="仿宋_GB2312"/>
          <w:color w:val="auto"/>
          <w:sz w:val="32"/>
        </w:rPr>
        <w:t>编制文件</w:t>
      </w:r>
      <w:r>
        <w:rPr>
          <w:rFonts w:ascii="仿宋_GB2312" w:hAnsi="仿宋_GB2312" w:eastAsia="仿宋_GB2312" w:cs="仿宋_GB2312"/>
          <w:color w:val="auto"/>
          <w:sz w:val="32"/>
        </w:rPr>
        <w:t>需</w:t>
      </w:r>
      <w:r>
        <w:rPr>
          <w:rFonts w:ascii="仿宋_GB2312" w:hAnsi="仿宋_GB2312" w:eastAsia="仿宋_GB2312" w:cs="仿宋_GB2312"/>
          <w:color w:val="auto"/>
          <w:sz w:val="32"/>
        </w:rPr>
        <w:t>满足立项要求</w:t>
      </w:r>
      <w:r>
        <w:rPr>
          <w:rFonts w:hint="eastAsia" w:ascii="仿宋_GB2312" w:hAnsi="仿宋_GB2312" w:eastAsia="仿宋_GB2312" w:cs="仿宋_GB2312"/>
          <w:color w:val="auto"/>
          <w:sz w:val="32"/>
        </w:rPr>
        <w:t>)</w:t>
      </w:r>
      <w:r>
        <w:rPr>
          <w:rFonts w:ascii="仿宋_GB2312" w:hAnsi="仿宋_GB2312" w:eastAsia="仿宋_GB2312" w:cs="仿宋_GB2312"/>
          <w:color w:val="auto"/>
          <w:sz w:val="32"/>
        </w:rPr>
        <w:t>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ascii="仿宋_GB2312" w:hAnsi="仿宋_GB2312" w:eastAsia="仿宋_GB2312" w:cs="仿宋_GB2312"/>
          <w:color w:val="auto"/>
          <w:sz w:val="32"/>
        </w:rPr>
        <w:fldChar w:fldCharType="begin"/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hint="eastAsia" w:ascii="仿宋_GB2312" w:hAnsi="仿宋_GB2312" w:eastAsia="仿宋_GB2312" w:cs="仿宋_GB2312"/>
          <w:color w:val="auto"/>
          <w:sz w:val="32"/>
        </w:rPr>
        <w:instrText xml:space="preserve">= 3 \* GB3</w:instrText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ascii="仿宋_GB2312" w:hAnsi="仿宋_GB2312" w:eastAsia="仿宋_GB2312" w:cs="仿宋_GB2312"/>
          <w:color w:val="auto"/>
          <w:sz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</w:rPr>
        <w:t>③</w:t>
      </w:r>
      <w:r>
        <w:rPr>
          <w:rFonts w:ascii="仿宋_GB2312" w:hAnsi="仿宋_GB2312" w:eastAsia="仿宋_GB2312" w:cs="仿宋_GB2312"/>
          <w:color w:val="auto"/>
          <w:sz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</w:rPr>
        <w:t>配合甲方完成项目备案及</w:t>
      </w:r>
      <w:r>
        <w:rPr>
          <w:rFonts w:ascii="仿宋_GB2312" w:hAnsi="仿宋_GB2312" w:eastAsia="仿宋_GB2312" w:cs="仿宋_GB2312"/>
          <w:color w:val="auto"/>
          <w:sz w:val="32"/>
        </w:rPr>
        <w:t>立项</w:t>
      </w:r>
      <w:r>
        <w:rPr>
          <w:rFonts w:hint="eastAsia" w:ascii="仿宋_GB2312" w:hAnsi="仿宋_GB2312" w:eastAsia="仿宋_GB2312" w:cs="仿宋_GB2312"/>
          <w:color w:val="auto"/>
          <w:sz w:val="32"/>
        </w:rPr>
        <w:t>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ascii="仿宋_GB2312" w:hAnsi="仿宋_GB2312" w:eastAsia="仿宋_GB2312" w:cs="仿宋_GB2312"/>
          <w:color w:val="auto"/>
          <w:sz w:val="32"/>
        </w:rPr>
        <w:fldChar w:fldCharType="begin"/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hint="eastAsia" w:ascii="仿宋_GB2312" w:hAnsi="仿宋_GB2312" w:eastAsia="仿宋_GB2312" w:cs="仿宋_GB2312"/>
          <w:color w:val="auto"/>
          <w:sz w:val="32"/>
        </w:rPr>
        <w:instrText xml:space="preserve">= 4 \* GB3</w:instrText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ascii="仿宋_GB2312" w:hAnsi="仿宋_GB2312" w:eastAsia="仿宋_GB2312" w:cs="仿宋_GB2312"/>
          <w:color w:val="auto"/>
          <w:sz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</w:rPr>
        <w:t>④</w:t>
      </w:r>
      <w:r>
        <w:rPr>
          <w:rFonts w:ascii="仿宋_GB2312" w:hAnsi="仿宋_GB2312" w:eastAsia="仿宋_GB2312" w:cs="仿宋_GB2312"/>
          <w:color w:val="auto"/>
          <w:sz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</w:rPr>
        <w:t>协助完善申请报告</w:t>
      </w:r>
      <w:r>
        <w:rPr>
          <w:rFonts w:hint="eastAsia" w:ascii="仿宋_GB2312" w:hAnsi="仿宋_GB2312" w:eastAsia="仿宋_GB2312" w:cs="仿宋_GB2312"/>
          <w:color w:val="auto"/>
          <w:sz w:val="32"/>
        </w:rPr>
        <w:t>，技术咨询等工作。</w:t>
      </w:r>
    </w:p>
    <w:p>
      <w:pPr>
        <w:ind w:firstLine="440" w:firstLineChars="200"/>
        <w:rPr>
          <w:rFonts w:eastAsia="宋体"/>
          <w:color w:val="auto"/>
        </w:rPr>
      </w:pPr>
    </w:p>
    <w:p>
      <w:pPr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</w:t>
      </w:r>
      <w:r>
        <w:rPr>
          <w:rFonts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工作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进度</w:t>
      </w:r>
      <w:r>
        <w:rPr>
          <w:rFonts w:ascii="黑体" w:hAnsi="黑体" w:eastAsia="黑体" w:cs="黑体"/>
          <w:color w:val="auto"/>
          <w:sz w:val="32"/>
          <w:szCs w:val="32"/>
        </w:rPr>
        <w:t>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ascii="仿宋_GB2312" w:hAnsi="仿宋_GB2312" w:eastAsia="仿宋_GB2312" w:cs="仿宋_GB2312"/>
          <w:color w:val="auto"/>
          <w:sz w:val="32"/>
        </w:rPr>
        <w:t>合同签订之后</w:t>
      </w:r>
      <w:r>
        <w:rPr>
          <w:rFonts w:hint="eastAsia" w:ascii="仿宋_GB2312" w:hAnsi="仿宋_GB2312" w:eastAsia="仿宋_GB2312" w:cs="仿宋_GB2312"/>
          <w:color w:val="auto"/>
          <w:sz w:val="32"/>
        </w:rPr>
        <w:t>，</w:t>
      </w:r>
      <w:r>
        <w:rPr>
          <w:rFonts w:ascii="仿宋_GB2312" w:hAnsi="仿宋_GB2312" w:eastAsia="仿宋_GB2312" w:cs="仿宋_GB2312"/>
          <w:color w:val="auto"/>
          <w:sz w:val="32"/>
        </w:rPr>
        <w:t>乙方在</w:t>
      </w:r>
      <w:r>
        <w:rPr>
          <w:rFonts w:hint="eastAsia" w:ascii="仿宋_GB2312" w:hAnsi="仿宋_GB2312" w:eastAsia="仿宋_GB2312" w:cs="仿宋_GB2312"/>
          <w:color w:val="auto"/>
          <w:sz w:val="32"/>
          <w:u w:val="single"/>
        </w:rPr>
        <w:t xml:space="preserve"> </w:t>
      </w:r>
      <w:r>
        <w:rPr>
          <w:rFonts w:ascii="仿宋_GB2312" w:hAnsi="仿宋_GB2312" w:eastAsia="仿宋_GB2312" w:cs="仿宋_GB2312"/>
          <w:color w:val="auto"/>
          <w:sz w:val="32"/>
          <w:u w:val="single"/>
        </w:rPr>
        <w:t xml:space="preserve"> </w:t>
      </w:r>
      <w:r>
        <w:rPr>
          <w:rFonts w:ascii="仿宋_GB2312" w:hAnsi="仿宋_GB2312" w:eastAsia="仿宋_GB2312" w:cs="仿宋_GB2312"/>
          <w:color w:val="auto"/>
          <w:sz w:val="32"/>
          <w:u w:val="single"/>
        </w:rPr>
        <w:t xml:space="preserve">  </w:t>
      </w:r>
      <w:r>
        <w:rPr>
          <w:rFonts w:ascii="仿宋_GB2312" w:hAnsi="仿宋_GB2312" w:eastAsia="仿宋_GB2312" w:cs="仿宋_GB2312"/>
          <w:color w:val="auto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天</w:t>
      </w:r>
      <w:r>
        <w:rPr>
          <w:rFonts w:ascii="仿宋_GB2312" w:hAnsi="仿宋_GB2312" w:eastAsia="仿宋_GB2312" w:cs="仿宋_GB2312"/>
          <w:color w:val="auto"/>
          <w:sz w:val="32"/>
        </w:rPr>
        <w:t>内完成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洛阳职业技术学院新校区二期项目供配电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的第三方评审</w:t>
      </w:r>
      <w:r>
        <w:rPr>
          <w:rFonts w:ascii="仿宋_GB2312" w:hAnsi="仿宋_GB2312" w:eastAsia="仿宋_GB2312" w:cs="仿宋_GB2312"/>
          <w:color w:val="auto"/>
          <w:sz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</w:rPr>
        <w:t>并</w:t>
      </w:r>
      <w:r>
        <w:rPr>
          <w:rFonts w:ascii="仿宋_GB2312" w:hAnsi="仿宋_GB2312" w:eastAsia="仿宋_GB2312" w:cs="仿宋_GB2312"/>
          <w:color w:val="auto"/>
          <w:sz w:val="32"/>
        </w:rPr>
        <w:t>评审通过，</w:t>
      </w:r>
      <w:r>
        <w:rPr>
          <w:rFonts w:hint="eastAsia" w:ascii="仿宋_GB2312" w:hAnsi="仿宋_GB2312" w:eastAsia="仿宋_GB2312" w:cs="仿宋_GB2312"/>
          <w:color w:val="auto"/>
          <w:sz w:val="32"/>
        </w:rPr>
        <w:t>评审通过后</w:t>
      </w:r>
      <w:r>
        <w:rPr>
          <w:rFonts w:hint="eastAsia" w:ascii="仿宋_GB2312" w:hAnsi="仿宋_GB2312" w:eastAsia="仿宋_GB2312" w:cs="仿宋_GB2312"/>
          <w:color w:val="auto"/>
          <w:sz w:val="32"/>
          <w:u w:val="single"/>
        </w:rPr>
        <w:t xml:space="preserve"> </w:t>
      </w:r>
      <w:r>
        <w:rPr>
          <w:rFonts w:ascii="仿宋_GB2312" w:hAnsi="仿宋_GB2312" w:eastAsia="仿宋_GB2312" w:cs="仿宋_GB2312"/>
          <w:color w:val="auto"/>
          <w:sz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</w:rPr>
        <w:t>天内</w:t>
      </w:r>
      <w:r>
        <w:rPr>
          <w:rFonts w:ascii="仿宋_GB2312" w:hAnsi="仿宋_GB2312" w:eastAsia="仿宋_GB2312" w:cs="仿宋_GB2312"/>
          <w:color w:val="auto"/>
          <w:sz w:val="32"/>
        </w:rPr>
        <w:t>完成</w:t>
      </w:r>
      <w:r>
        <w:rPr>
          <w:rFonts w:hint="eastAsia" w:ascii="仿宋_GB2312" w:hAnsi="仿宋_GB2312" w:eastAsia="仿宋_GB2312" w:cs="仿宋_GB2312"/>
          <w:color w:val="auto"/>
          <w:sz w:val="32"/>
        </w:rPr>
        <w:t>评审意见</w:t>
      </w:r>
      <w:r>
        <w:rPr>
          <w:rFonts w:ascii="仿宋_GB2312" w:hAnsi="仿宋_GB2312" w:eastAsia="仿宋_GB2312" w:cs="仿宋_GB2312"/>
          <w:color w:val="auto"/>
          <w:sz w:val="32"/>
        </w:rPr>
        <w:t>等相关资料</w:t>
      </w:r>
      <w:r>
        <w:rPr>
          <w:rFonts w:hint="eastAsia" w:ascii="仿宋_GB2312" w:hAnsi="仿宋_GB2312" w:eastAsia="仿宋_GB2312" w:cs="仿宋_GB2312"/>
          <w:color w:val="auto"/>
          <w:sz w:val="32"/>
        </w:rPr>
        <w:t>编制</w:t>
      </w:r>
      <w:r>
        <w:rPr>
          <w:rFonts w:ascii="仿宋_GB2312" w:hAnsi="仿宋_GB2312" w:eastAsia="仿宋_GB2312" w:cs="仿宋_GB2312"/>
          <w:color w:val="auto"/>
          <w:sz w:val="32"/>
        </w:rPr>
        <w:t>。</w:t>
      </w:r>
    </w:p>
    <w:p>
      <w:pPr>
        <w:ind w:firstLine="440" w:firstLineChars="200"/>
        <w:rPr>
          <w:rFonts w:eastAsia="宋体"/>
          <w:color w:val="auto"/>
        </w:rPr>
      </w:pPr>
    </w:p>
    <w:p>
      <w:pPr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</w:t>
      </w:r>
      <w:r>
        <w:rPr>
          <w:rFonts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成果要求</w:t>
      </w:r>
      <w:r>
        <w:rPr>
          <w:rFonts w:ascii="黑体" w:hAnsi="黑体" w:eastAsia="黑体" w:cs="黑体"/>
          <w:color w:val="auto"/>
          <w:sz w:val="32"/>
          <w:szCs w:val="32"/>
        </w:rPr>
        <w:t>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ascii="仿宋_GB2312" w:hAnsi="仿宋_GB2312" w:eastAsia="仿宋_GB2312" w:cs="仿宋_GB2312"/>
          <w:color w:val="auto"/>
          <w:sz w:val="32"/>
        </w:rPr>
        <w:fldChar w:fldCharType="begin"/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hint="eastAsia" w:ascii="仿宋_GB2312" w:hAnsi="仿宋_GB2312" w:eastAsia="仿宋_GB2312" w:cs="仿宋_GB2312"/>
          <w:color w:val="auto"/>
          <w:sz w:val="32"/>
        </w:rPr>
        <w:instrText xml:space="preserve">= 1 \* GB3</w:instrText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ascii="仿宋_GB2312" w:hAnsi="仿宋_GB2312" w:eastAsia="仿宋_GB2312" w:cs="仿宋_GB2312"/>
          <w:color w:val="auto"/>
          <w:sz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</w:rPr>
        <w:t>①</w:t>
      </w:r>
      <w:r>
        <w:rPr>
          <w:rFonts w:ascii="仿宋_GB2312" w:hAnsi="仿宋_GB2312" w:eastAsia="仿宋_GB2312" w:cs="仿宋_GB2312"/>
          <w:color w:val="auto"/>
          <w:sz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</w:rPr>
        <w:t>评审通过</w:t>
      </w:r>
      <w:r>
        <w:rPr>
          <w:rFonts w:ascii="仿宋_GB2312" w:hAnsi="仿宋_GB2312" w:eastAsia="仿宋_GB2312" w:cs="仿宋_GB2312"/>
          <w:color w:val="auto"/>
          <w:sz w:val="32"/>
        </w:rPr>
        <w:t>后</w:t>
      </w:r>
      <w:r>
        <w:rPr>
          <w:rFonts w:hint="eastAsia" w:ascii="仿宋_GB2312" w:hAnsi="仿宋_GB2312" w:eastAsia="仿宋_GB2312" w:cs="仿宋_GB2312"/>
          <w:color w:val="auto"/>
          <w:sz w:val="32"/>
        </w:rPr>
        <w:t>的评审意见等</w:t>
      </w:r>
      <w:r>
        <w:rPr>
          <w:rFonts w:ascii="仿宋_GB2312" w:hAnsi="仿宋_GB2312" w:eastAsia="仿宋_GB2312" w:cs="仿宋_GB2312"/>
          <w:color w:val="auto"/>
          <w:sz w:val="32"/>
        </w:rPr>
        <w:t>资料八</w:t>
      </w:r>
      <w:r>
        <w:rPr>
          <w:rFonts w:hint="eastAsia" w:ascii="仿宋_GB2312" w:hAnsi="仿宋_GB2312" w:eastAsia="仿宋_GB2312" w:cs="仿宋_GB2312"/>
          <w:color w:val="auto"/>
          <w:sz w:val="32"/>
        </w:rPr>
        <w:t>份</w:t>
      </w:r>
      <w:r>
        <w:rPr>
          <w:rFonts w:ascii="仿宋_GB2312" w:hAnsi="仿宋_GB2312" w:eastAsia="仿宋_GB2312" w:cs="仿宋_GB2312"/>
          <w:color w:val="auto"/>
          <w:sz w:val="32"/>
        </w:rPr>
        <w:t>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ascii="仿宋_GB2312" w:hAnsi="仿宋_GB2312" w:eastAsia="仿宋_GB2312" w:cs="仿宋_GB2312"/>
          <w:color w:val="auto"/>
          <w:sz w:val="32"/>
        </w:rPr>
        <w:fldChar w:fldCharType="begin"/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hint="eastAsia" w:ascii="仿宋_GB2312" w:hAnsi="仿宋_GB2312" w:eastAsia="仿宋_GB2312" w:cs="仿宋_GB2312"/>
          <w:color w:val="auto"/>
          <w:sz w:val="32"/>
        </w:rPr>
        <w:instrText xml:space="preserve">= 2 \* GB3</w:instrText>
      </w:r>
      <w:r>
        <w:rPr>
          <w:rFonts w:ascii="仿宋_GB2312" w:hAnsi="仿宋_GB2312" w:eastAsia="仿宋_GB2312" w:cs="仿宋_GB2312"/>
          <w:color w:val="auto"/>
          <w:sz w:val="32"/>
        </w:rPr>
        <w:instrText xml:space="preserve"> </w:instrText>
      </w:r>
      <w:r>
        <w:rPr>
          <w:rFonts w:ascii="仿宋_GB2312" w:hAnsi="仿宋_GB2312" w:eastAsia="仿宋_GB2312" w:cs="仿宋_GB2312"/>
          <w:color w:val="auto"/>
          <w:sz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</w:rPr>
        <w:t>②</w:t>
      </w:r>
      <w:r>
        <w:rPr>
          <w:rFonts w:ascii="仿宋_GB2312" w:hAnsi="仿宋_GB2312" w:eastAsia="仿宋_GB2312" w:cs="仿宋_GB2312"/>
          <w:color w:val="auto"/>
          <w:sz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</w:rPr>
        <w:t>配合完成项目备案</w:t>
      </w:r>
      <w:r>
        <w:rPr>
          <w:rFonts w:ascii="仿宋_GB2312" w:hAnsi="仿宋_GB2312" w:eastAsia="仿宋_GB2312" w:cs="仿宋_GB2312"/>
          <w:color w:val="auto"/>
          <w:sz w:val="32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</w:rPr>
        <w:t>立项</w:t>
      </w:r>
      <w:r>
        <w:rPr>
          <w:rFonts w:ascii="仿宋_GB2312" w:hAnsi="仿宋_GB2312" w:eastAsia="仿宋_GB2312" w:cs="仿宋_GB2312"/>
          <w:color w:val="auto"/>
          <w:sz w:val="32"/>
        </w:rPr>
        <w:t>。</w:t>
      </w:r>
    </w:p>
    <w:p>
      <w:pPr>
        <w:ind w:firstLine="440" w:firstLineChars="200"/>
        <w:rPr>
          <w:rFonts w:eastAsia="宋体"/>
          <w:color w:val="auto"/>
        </w:rPr>
      </w:pPr>
    </w:p>
    <w:p>
      <w:pPr>
        <w:ind w:firstLine="640" w:firstLineChars="200"/>
        <w:rPr>
          <w:rFonts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四</w:t>
      </w:r>
      <w:r>
        <w:rPr>
          <w:rFonts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甲方责任</w:t>
      </w:r>
      <w:r>
        <w:rPr>
          <w:rFonts w:ascii="黑体" w:hAnsi="黑体" w:eastAsia="黑体" w:cs="黑体"/>
          <w:color w:val="auto"/>
          <w:sz w:val="32"/>
          <w:szCs w:val="32"/>
        </w:rPr>
        <w:t>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1、甲方应尊重乙方根据国家或行业相关标准、规定进行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组织评审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评审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意见编制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工作的权利，不应提出与国家或行业标准、规定相抵触的要求；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2、甲方应在签订合同的同时向乙方提供开展工作所需的基本资料，并对提供资料的可靠性、真实性、合法性负责，如果甲方推迟提供或提供的资料不能满足设计要求，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乙方则相应推迟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进度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3、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维护乙方的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成果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，不得擅自修改，不得转让给第三方使用；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4、按合同规定如期支付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编制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用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440" w:firstLineChars="200"/>
        <w:rPr>
          <w:rFonts w:eastAsia="宋体"/>
          <w:color w:val="auto"/>
        </w:rPr>
      </w:pPr>
    </w:p>
    <w:p>
      <w:pPr>
        <w:pStyle w:val="26"/>
        <w:spacing w:before="0" w:beforeAutospacing="0" w:after="0" w:afterAutospacing="0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五</w:t>
      </w:r>
      <w:r>
        <w:rPr>
          <w:rFonts w:ascii="黑体" w:hAnsi="黑体" w:eastAsia="黑体" w:cs="黑体"/>
          <w:color w:val="auto"/>
          <w:sz w:val="32"/>
          <w:szCs w:val="32"/>
        </w:rPr>
        <w:t>、乙方责任：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1、按照本合同规定内容，根据国家和行业相关标准、规定和项目所在电力系统具体要求开展工作，并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出具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评审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通过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后的评审意见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资料，对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成果资料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的质量负责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2、对由甲方提供的基础资料，在未经甲方同意时，不得向任何第三方提供：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3、按合同规定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如期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完成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评审，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并出具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评审合格的相关资料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200"/>
        <w:rPr>
          <w:rFonts w:eastAsia="宋体"/>
          <w:color w:val="auto"/>
        </w:rPr>
      </w:pPr>
    </w:p>
    <w:p>
      <w:pPr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六</w:t>
      </w:r>
      <w:r>
        <w:rPr>
          <w:rFonts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费用</w:t>
      </w:r>
      <w:r>
        <w:rPr>
          <w:rFonts w:ascii="黑体" w:hAnsi="黑体" w:eastAsia="黑体" w:cs="黑体"/>
          <w:color w:val="auto"/>
          <w:sz w:val="32"/>
          <w:szCs w:val="32"/>
        </w:rPr>
        <w:t>及支付方式：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1、编制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费用：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本工程的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编制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费用为：</w:t>
      </w:r>
      <w:r>
        <w:rPr>
          <w:rFonts w:ascii="Calibri" w:hAnsi="Calibri" w:eastAsia="仿宋_GB2312" w:cs="Calibri"/>
          <w:color w:val="auto"/>
          <w:sz w:val="32"/>
          <w:szCs w:val="32"/>
        </w:rPr>
        <w:t>¥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元(人民币大写：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元整)。含税。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以上费用为合同规定的全部义务所需的费用总计，合同履行过程中乙方不得要求增加。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2、支付方式：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本合同服务费以转账方式支付，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乙方完成申请报告的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评审工作，并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出具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评审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合格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的相关资料（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包含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评审意见）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协助本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项目完成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立项、备案后，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通知乙方开具等值真实合规有效发票；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评审成果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、发票核对无误后，一次性支付全部服务费用到合同约定的乙方账户。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3.乙方收款账户基本信息为：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账户名称：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开户行：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账号：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若甲方放假、财政封账等因素暂时无法支付的，付款期限顺延，不属于违约。</w:t>
      </w:r>
    </w:p>
    <w:p>
      <w:pPr>
        <w:ind w:firstLine="200"/>
        <w:rPr>
          <w:rFonts w:eastAsia="宋体"/>
          <w:color w:val="auto"/>
        </w:rPr>
      </w:pPr>
    </w:p>
    <w:p>
      <w:pPr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七</w:t>
      </w:r>
      <w:r>
        <w:rPr>
          <w:rFonts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违约责任：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1、因甲方计划变更，提供资料不准确不及时等造成设计返工、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报告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编制修改时，甲方应按实际消耗工作量增付乙方费用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2、甲方未按合同规定的金额和时间向乙方支付合同价款属甲方违约，每推迟一天，甲方应按照合同金额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%向乙方支付违约金。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3、乙方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的评审，如申请报告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未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通过评审的，应协助编制单位修改完善申请报告，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并组织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评审直至评审通过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，符合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立项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、备案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为止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乙方拒绝协助、或消极配合的，甲方有权解除本合同，乙方应向甲方支付合同总金额5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%的违约金。</w:t>
      </w:r>
    </w:p>
    <w:p>
      <w:pPr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4、乙方未按双方规定的时间向甲方交付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评审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合格后的评审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意见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等相关资料的，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属乙方违约，每推迟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一天，乙方应按照合同金额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向甲方支付违约金。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推迟超过1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天的，甲方有权在计收违约金的同时解除本合同。</w:t>
      </w:r>
    </w:p>
    <w:p>
      <w:pPr>
        <w:pStyle w:val="26"/>
        <w:spacing w:before="0" w:beforeAutospacing="0" w:after="0" w:afterAutospacing="0"/>
        <w:ind w:firstLine="640" w:firstLineChars="200"/>
        <w:rPr>
          <w:color w:val="auto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八</w:t>
      </w:r>
      <w:r>
        <w:rPr>
          <w:rFonts w:ascii="黑体" w:hAnsi="黑体" w:eastAsia="黑体" w:cs="黑体"/>
          <w:color w:val="auto"/>
          <w:sz w:val="32"/>
          <w:szCs w:val="32"/>
        </w:rPr>
        <w:t>、解决争议的方法：</w:t>
      </w:r>
    </w:p>
    <w:p>
      <w:pPr>
        <w:pStyle w:val="26"/>
        <w:spacing w:before="0" w:beforeAutospacing="0" w:after="0" w:afterAutospacing="0"/>
        <w:ind w:firstLine="640" w:firstLineChars="200"/>
        <w:rPr>
          <w:color w:val="auto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当甲、乙双方因合同发生争议时，双方应通过友好协商解决。协商不成，双方均可向甲方所在地人民法院提起诉讼。</w:t>
      </w:r>
    </w:p>
    <w:p>
      <w:pPr>
        <w:ind w:firstLine="440" w:firstLineChars="200"/>
        <w:rPr>
          <w:rFonts w:eastAsia="宋体"/>
          <w:color w:val="auto"/>
        </w:rPr>
      </w:pPr>
    </w:p>
    <w:p>
      <w:pPr>
        <w:pStyle w:val="2"/>
        <w:ind w:firstLine="640" w:firstLineChars="200"/>
        <w:rPr>
          <w:rFonts w:ascii="微软雅黑" w:hAnsi="微软雅黑" w:eastAsia="微软雅黑" w:cs="微软雅黑"/>
          <w:color w:val="auto"/>
        </w:rPr>
      </w:pPr>
      <w:r>
        <w:rPr>
          <w:rFonts w:hint="eastAsia" w:ascii="黑体" w:hAnsi="黑体" w:eastAsia="黑体" w:cs="黑体"/>
          <w:color w:val="auto"/>
          <w:sz w:val="32"/>
        </w:rPr>
        <w:t>九</w:t>
      </w:r>
      <w:r>
        <w:rPr>
          <w:rFonts w:ascii="黑体" w:hAnsi="黑体" w:eastAsia="黑体" w:cs="黑体"/>
          <w:color w:val="auto"/>
          <w:sz w:val="32"/>
        </w:rPr>
        <w:t>、</w:t>
      </w:r>
      <w:r>
        <w:rPr>
          <w:rFonts w:hint="eastAsia" w:ascii="黑体" w:hAnsi="黑体" w:eastAsia="黑体" w:cs="黑体"/>
          <w:color w:val="auto"/>
          <w:sz w:val="32"/>
        </w:rPr>
        <w:t>附则</w:t>
      </w:r>
      <w:r>
        <w:rPr>
          <w:rFonts w:ascii="黑体" w:hAnsi="黑体" w:eastAsia="黑体" w:cs="黑体"/>
          <w:color w:val="auto"/>
          <w:sz w:val="32"/>
        </w:rPr>
        <w:t>：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1.本协议未尽事宜，双方应当及时协商并共同签订补充协议，补充协议与本协议具同等法律效力。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.本合同经双方签字盖章之日起生效，交付编制成果文件、双方结清费用工程完工后终止。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.本合同一式 捌 份，双方签字盖章后生效。甲方持 五 份，乙方执 叁 份，具同等法律效力。</w:t>
      </w:r>
    </w:p>
    <w:p>
      <w:pPr>
        <w:pStyle w:val="26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（以下无正文，为签署页。）</w:t>
      </w:r>
    </w:p>
    <w:p>
      <w:pPr>
        <w:pStyle w:val="26"/>
        <w:spacing w:before="0" w:beforeAutospacing="0" w:after="0" w:afterAutospacing="0"/>
        <w:ind w:firstLine="200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29"/>
        <w:tblpPr w:leftFromText="180" w:rightFromText="180" w:vertAnchor="text" w:horzAnchor="page" w:tblpX="1412" w:tblpY="743"/>
        <w:tblOverlap w:val="never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9"/>
        <w:gridCol w:w="407"/>
        <w:gridCol w:w="42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389" w:type="dxa"/>
          </w:tcPr>
          <w:p>
            <w:pPr>
              <w:snapToGrid w:val="0"/>
              <w:spacing w:after="200" w:line="300" w:lineRule="auto"/>
              <w:ind w:left="840" w:hanging="840" w:hangingChars="300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napToGrid w:val="0"/>
              <w:spacing w:after="200" w:line="300" w:lineRule="auto"/>
              <w:ind w:left="840" w:hanging="840" w:hangingChars="3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甲方：</w:t>
            </w:r>
          </w:p>
        </w:tc>
        <w:tc>
          <w:tcPr>
            <w:tcW w:w="407" w:type="dxa"/>
          </w:tcPr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乙方：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389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甲方代表（签字）：</w:t>
            </w: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日期：    年   月    日             </w:t>
            </w:r>
          </w:p>
        </w:tc>
        <w:tc>
          <w:tcPr>
            <w:tcW w:w="407" w:type="dxa"/>
          </w:tcPr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乙方代表（签字）：</w:t>
            </w: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日期：  年    月     日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389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07" w:type="dxa"/>
          </w:tcPr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snapToGrid w:val="0"/>
        <w:spacing w:after="200" w:line="220" w:lineRule="atLeast"/>
        <w:rPr>
          <w:rFonts w:ascii="微软雅黑" w:hAnsi="微软雅黑" w:eastAsia="微软雅黑"/>
          <w:sz w:val="24"/>
          <w:szCs w:val="24"/>
        </w:rPr>
      </w:pPr>
    </w:p>
    <w:sectPr>
      <w:footerReference r:id="rId3" w:type="default"/>
      <w:pgSz w:w="11906" w:h="16838"/>
      <w:pgMar w:top="1928" w:right="1474" w:bottom="2041" w:left="1418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snapToGrid w:val="0"/>
      <w:spacing w:after="200"/>
      <w:jc w:val="center"/>
    </w:pPr>
    <w:r>
      <w:fldChar w:fldCharType="begin"/>
    </w:r>
    <w:r>
      <w:instrText xml:space="preserve">PAGE  \* MERGEFORMAT</w:instrText>
    </w:r>
    <w:r>
      <w:fldChar w:fldCharType="separate"/>
    </w:r>
    <w:r>
      <w:t>3</w:t>
    </w:r>
    <w:r>
      <w:fldChar w:fldCharType="end"/>
    </w:r>
  </w:p>
  <w:p>
    <w:pPr>
      <w:pStyle w:val="18"/>
      <w:snapToGrid w:val="0"/>
      <w:spacing w:after="2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1"/>
  <w:documentProtection w:enforcement="0"/>
  <w:defaultTabStop w:val="720"/>
  <w:displayHorizontalDrawingGridEvery w:val="0"/>
  <w:displayVerticalDrawingGridEvery w:val="2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VkMzA1ODAyNGMzMDUwMjE0YTA4NTNlMWU2MGZjY2YifQ=="/>
  </w:docVars>
  <w:rsids>
    <w:rsidRoot w:val="007D20AC"/>
    <w:rsid w:val="0003165D"/>
    <w:rsid w:val="00070C91"/>
    <w:rsid w:val="00085967"/>
    <w:rsid w:val="000A2CA9"/>
    <w:rsid w:val="000A759C"/>
    <w:rsid w:val="000B5CDF"/>
    <w:rsid w:val="00146860"/>
    <w:rsid w:val="00166329"/>
    <w:rsid w:val="00167B5B"/>
    <w:rsid w:val="001F2C76"/>
    <w:rsid w:val="00212C2B"/>
    <w:rsid w:val="0025126D"/>
    <w:rsid w:val="00262B29"/>
    <w:rsid w:val="00266C02"/>
    <w:rsid w:val="00294D4B"/>
    <w:rsid w:val="002B3D71"/>
    <w:rsid w:val="002D7A1F"/>
    <w:rsid w:val="002E7724"/>
    <w:rsid w:val="00321B65"/>
    <w:rsid w:val="00364E9A"/>
    <w:rsid w:val="003762BF"/>
    <w:rsid w:val="003C1C9D"/>
    <w:rsid w:val="004244CA"/>
    <w:rsid w:val="00427CB1"/>
    <w:rsid w:val="00432E56"/>
    <w:rsid w:val="004337B9"/>
    <w:rsid w:val="00455C52"/>
    <w:rsid w:val="004668EB"/>
    <w:rsid w:val="00476C9E"/>
    <w:rsid w:val="004F102F"/>
    <w:rsid w:val="005131C0"/>
    <w:rsid w:val="005328AA"/>
    <w:rsid w:val="005376F2"/>
    <w:rsid w:val="005A696D"/>
    <w:rsid w:val="005C0F28"/>
    <w:rsid w:val="005D54E4"/>
    <w:rsid w:val="0060671F"/>
    <w:rsid w:val="006177AA"/>
    <w:rsid w:val="00641982"/>
    <w:rsid w:val="00673C14"/>
    <w:rsid w:val="00772D7D"/>
    <w:rsid w:val="007D1905"/>
    <w:rsid w:val="007D20AC"/>
    <w:rsid w:val="007D754A"/>
    <w:rsid w:val="00800917"/>
    <w:rsid w:val="00800BBC"/>
    <w:rsid w:val="00814577"/>
    <w:rsid w:val="00815ADC"/>
    <w:rsid w:val="00816744"/>
    <w:rsid w:val="00834158"/>
    <w:rsid w:val="00857B19"/>
    <w:rsid w:val="00894320"/>
    <w:rsid w:val="008A3DFA"/>
    <w:rsid w:val="008F2182"/>
    <w:rsid w:val="00900628"/>
    <w:rsid w:val="00995BF6"/>
    <w:rsid w:val="009D0A0C"/>
    <w:rsid w:val="00A35C65"/>
    <w:rsid w:val="00A45301"/>
    <w:rsid w:val="00A9788A"/>
    <w:rsid w:val="00BA59C4"/>
    <w:rsid w:val="00BC41EF"/>
    <w:rsid w:val="00BD1709"/>
    <w:rsid w:val="00BE6F4C"/>
    <w:rsid w:val="00C05617"/>
    <w:rsid w:val="00C55F35"/>
    <w:rsid w:val="00C6795A"/>
    <w:rsid w:val="00C75221"/>
    <w:rsid w:val="00CE41B3"/>
    <w:rsid w:val="00CE6046"/>
    <w:rsid w:val="00D0190C"/>
    <w:rsid w:val="00D81120"/>
    <w:rsid w:val="00DF6E3D"/>
    <w:rsid w:val="00DF7A00"/>
    <w:rsid w:val="00E025B0"/>
    <w:rsid w:val="00E42B65"/>
    <w:rsid w:val="00E57860"/>
    <w:rsid w:val="00EB7639"/>
    <w:rsid w:val="00EE6699"/>
    <w:rsid w:val="00F138B2"/>
    <w:rsid w:val="00F24E76"/>
    <w:rsid w:val="00F3246B"/>
    <w:rsid w:val="00F51684"/>
    <w:rsid w:val="00F651EF"/>
    <w:rsid w:val="00F747B5"/>
    <w:rsid w:val="00F91621"/>
    <w:rsid w:val="00F95B78"/>
    <w:rsid w:val="00FF7131"/>
    <w:rsid w:val="076703EE"/>
    <w:rsid w:val="0A095B6F"/>
    <w:rsid w:val="11177FBC"/>
    <w:rsid w:val="11887A11"/>
    <w:rsid w:val="1BDA08B3"/>
    <w:rsid w:val="1FAC454B"/>
    <w:rsid w:val="22F37DD6"/>
    <w:rsid w:val="24C456A8"/>
    <w:rsid w:val="253241A6"/>
    <w:rsid w:val="26142B7A"/>
    <w:rsid w:val="26F356F3"/>
    <w:rsid w:val="2DFC3DFB"/>
    <w:rsid w:val="36B22EE5"/>
    <w:rsid w:val="383235C2"/>
    <w:rsid w:val="40255295"/>
    <w:rsid w:val="47927AC1"/>
    <w:rsid w:val="48803D84"/>
    <w:rsid w:val="4A637A72"/>
    <w:rsid w:val="4FE70564"/>
    <w:rsid w:val="50370AF9"/>
    <w:rsid w:val="54F823D2"/>
    <w:rsid w:val="63A968DA"/>
    <w:rsid w:val="65402D32"/>
    <w:rsid w:val="6C981B25"/>
    <w:rsid w:val="76A11B7D"/>
    <w:rsid w:val="7BE35EE2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uiPriority="0" w:name="Table Grid"/>
    <w:lsdException w:uiPriority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rPr>
      <w:rFonts w:ascii="Tahoma" w:hAnsi="Tahoma" w:eastAsia="Tahoma" w:cstheme="minorBidi"/>
      <w:sz w:val="22"/>
      <w:szCs w:val="22"/>
      <w:lang w:val="en-US" w:eastAsia="zh-CN" w:bidi="ar-SA"/>
    </w:rPr>
  </w:style>
  <w:style w:type="paragraph" w:styleId="3">
    <w:name w:val="heading 1"/>
    <w:next w:val="1"/>
    <w:qFormat/>
    <w:uiPriority w:val="7"/>
    <w:pPr>
      <w:jc w:val="both"/>
      <w:outlineLvl w:val="0"/>
    </w:pPr>
    <w:rPr>
      <w:rFonts w:ascii="Calibri" w:hAnsi="Calibri" w:eastAsia="微软雅黑" w:cstheme="minorBidi"/>
      <w:sz w:val="28"/>
      <w:szCs w:val="28"/>
      <w:lang w:val="en-US" w:eastAsia="zh-CN" w:bidi="ar-SA"/>
    </w:rPr>
  </w:style>
  <w:style w:type="paragraph" w:styleId="4">
    <w:name w:val="heading 2"/>
    <w:next w:val="1"/>
    <w:qFormat/>
    <w:uiPriority w:val="8"/>
    <w:pPr>
      <w:jc w:val="both"/>
      <w:outlineLvl w:val="1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5">
    <w:name w:val="heading 3"/>
    <w:next w:val="1"/>
    <w:autoRedefine/>
    <w:qFormat/>
    <w:uiPriority w:val="9"/>
    <w:pPr>
      <w:ind w:left="1000" w:hanging="400"/>
      <w:jc w:val="both"/>
      <w:outlineLvl w:val="2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6">
    <w:name w:val="heading 4"/>
    <w:next w:val="1"/>
    <w:qFormat/>
    <w:uiPriority w:val="10"/>
    <w:pPr>
      <w:ind w:left="1200" w:hanging="400"/>
      <w:jc w:val="both"/>
      <w:outlineLvl w:val="3"/>
    </w:pPr>
    <w:rPr>
      <w:rFonts w:ascii="Calibri" w:hAnsi="Calibri" w:eastAsia="微软雅黑" w:cstheme="minorBidi"/>
      <w:b/>
      <w:sz w:val="21"/>
      <w:szCs w:val="21"/>
      <w:lang w:val="en-US" w:eastAsia="zh-CN" w:bidi="ar-SA"/>
    </w:rPr>
  </w:style>
  <w:style w:type="paragraph" w:styleId="7">
    <w:name w:val="heading 5"/>
    <w:next w:val="1"/>
    <w:qFormat/>
    <w:uiPriority w:val="11"/>
    <w:pPr>
      <w:ind w:left="1400" w:hanging="400"/>
      <w:jc w:val="both"/>
      <w:outlineLvl w:val="4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8">
    <w:name w:val="heading 6"/>
    <w:next w:val="1"/>
    <w:qFormat/>
    <w:uiPriority w:val="12"/>
    <w:pPr>
      <w:ind w:left="1600" w:hanging="400"/>
      <w:jc w:val="both"/>
      <w:outlineLvl w:val="5"/>
    </w:pPr>
    <w:rPr>
      <w:rFonts w:ascii="Calibri" w:hAnsi="Calibri" w:eastAsia="微软雅黑" w:cstheme="minorBidi"/>
      <w:b/>
      <w:sz w:val="21"/>
      <w:szCs w:val="21"/>
      <w:lang w:val="en-US" w:eastAsia="zh-CN" w:bidi="ar-SA"/>
    </w:rPr>
  </w:style>
  <w:style w:type="paragraph" w:styleId="9">
    <w:name w:val="heading 7"/>
    <w:next w:val="1"/>
    <w:qFormat/>
    <w:uiPriority w:val="13"/>
    <w:pPr>
      <w:ind w:left="1800" w:hanging="400"/>
      <w:jc w:val="both"/>
      <w:outlineLvl w:val="6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0">
    <w:name w:val="heading 8"/>
    <w:next w:val="1"/>
    <w:autoRedefine/>
    <w:qFormat/>
    <w:uiPriority w:val="14"/>
    <w:pPr>
      <w:ind w:left="2000" w:hanging="400"/>
      <w:jc w:val="both"/>
      <w:outlineLvl w:val="7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1">
    <w:name w:val="heading 9"/>
    <w:next w:val="1"/>
    <w:qFormat/>
    <w:uiPriority w:val="15"/>
    <w:pPr>
      <w:ind w:left="2200" w:hanging="400"/>
      <w:jc w:val="both"/>
      <w:outlineLvl w:val="8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character" w:default="1" w:styleId="30">
    <w:name w:val="Default Paragraph Font"/>
    <w:semiHidden/>
    <w:unhideWhenUsed/>
    <w:uiPriority w:val="1"/>
  </w:style>
  <w:style w:type="table" w:default="1" w:styleId="2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autoRedefine/>
    <w:qFormat/>
    <w:uiPriority w:val="0"/>
    <w:pPr>
      <w:spacing w:after="160"/>
      <w:jc w:val="both"/>
      <w:textAlignment w:val="baseline"/>
    </w:pPr>
    <w:rPr>
      <w:rFonts w:ascii="宋体" w:hAnsi="宋体" w:eastAsia="Calibri" w:cs="Times New Roman"/>
      <w:sz w:val="28"/>
      <w:szCs w:val="32"/>
    </w:rPr>
  </w:style>
  <w:style w:type="paragraph" w:styleId="12">
    <w:name w:val="toc 7"/>
    <w:next w:val="1"/>
    <w:autoRedefine/>
    <w:unhideWhenUsed/>
    <w:qFormat/>
    <w:uiPriority w:val="34"/>
    <w:pPr>
      <w:ind w:left="255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3">
    <w:name w:val="annotation text"/>
    <w:basedOn w:val="1"/>
    <w:link w:val="47"/>
    <w:autoRedefine/>
    <w:unhideWhenUsed/>
    <w:qFormat/>
    <w:uiPriority w:val="0"/>
  </w:style>
  <w:style w:type="paragraph" w:styleId="14">
    <w:name w:val="toc 5"/>
    <w:next w:val="1"/>
    <w:autoRedefine/>
    <w:unhideWhenUsed/>
    <w:qFormat/>
    <w:uiPriority w:val="32"/>
    <w:pPr>
      <w:ind w:left="170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5">
    <w:name w:val="toc 3"/>
    <w:next w:val="1"/>
    <w:unhideWhenUsed/>
    <w:qFormat/>
    <w:uiPriority w:val="30"/>
    <w:pPr>
      <w:ind w:left="85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6">
    <w:name w:val="toc 8"/>
    <w:next w:val="1"/>
    <w:autoRedefine/>
    <w:unhideWhenUsed/>
    <w:qFormat/>
    <w:uiPriority w:val="35"/>
    <w:pPr>
      <w:ind w:left="297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7">
    <w:name w:val="Balloon Text"/>
    <w:basedOn w:val="1"/>
    <w:link w:val="46"/>
    <w:autoRedefine/>
    <w:unhideWhenUsed/>
    <w:qFormat/>
    <w:uiPriority w:val="0"/>
    <w:rPr>
      <w:sz w:val="18"/>
      <w:szCs w:val="18"/>
    </w:rPr>
  </w:style>
  <w:style w:type="paragraph" w:styleId="18">
    <w:name w:val="footer"/>
    <w:basedOn w:val="1"/>
    <w:link w:val="45"/>
    <w:autoRedefine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9">
    <w:name w:val="header"/>
    <w:basedOn w:val="1"/>
    <w:link w:val="44"/>
    <w:autoRedefine/>
    <w:unhideWhenUsed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0">
    <w:name w:val="toc 1"/>
    <w:next w:val="1"/>
    <w:autoRedefine/>
    <w:unhideWhenUsed/>
    <w:qFormat/>
    <w:uiPriority w:val="28"/>
    <w:pPr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1">
    <w:name w:val="toc 4"/>
    <w:next w:val="1"/>
    <w:autoRedefine/>
    <w:unhideWhenUsed/>
    <w:qFormat/>
    <w:uiPriority w:val="31"/>
    <w:pPr>
      <w:ind w:left="127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2">
    <w:name w:val="Subtitle"/>
    <w:autoRedefine/>
    <w:qFormat/>
    <w:uiPriority w:val="16"/>
    <w:pPr>
      <w:jc w:val="center"/>
    </w:pPr>
    <w:rPr>
      <w:rFonts w:ascii="Calibri" w:hAnsi="Calibri" w:eastAsia="微软雅黑" w:cstheme="minorBidi"/>
      <w:sz w:val="24"/>
      <w:szCs w:val="24"/>
      <w:lang w:val="en-US" w:eastAsia="zh-CN" w:bidi="ar-SA"/>
    </w:rPr>
  </w:style>
  <w:style w:type="paragraph" w:styleId="23">
    <w:name w:val="toc 6"/>
    <w:next w:val="1"/>
    <w:autoRedefine/>
    <w:unhideWhenUsed/>
    <w:qFormat/>
    <w:uiPriority w:val="33"/>
    <w:pPr>
      <w:ind w:left="212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4">
    <w:name w:val="toc 2"/>
    <w:next w:val="1"/>
    <w:autoRedefine/>
    <w:unhideWhenUsed/>
    <w:qFormat/>
    <w:uiPriority w:val="29"/>
    <w:pPr>
      <w:ind w:left="42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5">
    <w:name w:val="toc 9"/>
    <w:next w:val="1"/>
    <w:autoRedefine/>
    <w:unhideWhenUsed/>
    <w:qFormat/>
    <w:uiPriority w:val="36"/>
    <w:pPr>
      <w:ind w:left="340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6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27">
    <w:name w:val="Title"/>
    <w:autoRedefine/>
    <w:qFormat/>
    <w:uiPriority w:val="6"/>
    <w:pPr>
      <w:jc w:val="center"/>
    </w:pPr>
    <w:rPr>
      <w:rFonts w:ascii="Calibri" w:hAnsi="Calibri" w:eastAsia="微软雅黑" w:cstheme="minorBidi"/>
      <w:b/>
      <w:sz w:val="32"/>
      <w:szCs w:val="32"/>
      <w:lang w:val="en-US" w:eastAsia="zh-CN" w:bidi="ar-SA"/>
    </w:rPr>
  </w:style>
  <w:style w:type="paragraph" w:styleId="28">
    <w:name w:val="annotation subject"/>
    <w:next w:val="13"/>
    <w:link w:val="48"/>
    <w:autoRedefine/>
    <w:unhideWhenUsed/>
    <w:qFormat/>
    <w:uiPriority w:val="0"/>
    <w:rPr>
      <w:rFonts w:ascii="Calibri" w:hAnsi="Calibri" w:eastAsia="微软雅黑" w:cstheme="minorBidi"/>
      <w:b/>
      <w:lang w:val="en-US" w:eastAsia="zh-CN" w:bidi="ar-SA"/>
    </w:rPr>
  </w:style>
  <w:style w:type="character" w:styleId="31">
    <w:name w:val="Strong"/>
    <w:autoRedefine/>
    <w:qFormat/>
    <w:uiPriority w:val="20"/>
    <w:rPr>
      <w:b/>
      <w:w w:val="100"/>
      <w:sz w:val="21"/>
      <w:szCs w:val="21"/>
      <w:shd w:val="clear" w:color="auto" w:fill="auto"/>
    </w:rPr>
  </w:style>
  <w:style w:type="character" w:styleId="32">
    <w:name w:val="Emphasis"/>
    <w:autoRedefine/>
    <w:qFormat/>
    <w:uiPriority w:val="18"/>
    <w:rPr>
      <w:i/>
      <w:w w:val="100"/>
      <w:sz w:val="21"/>
      <w:szCs w:val="21"/>
      <w:shd w:val="clear" w:color="auto" w:fill="auto"/>
    </w:rPr>
  </w:style>
  <w:style w:type="character" w:styleId="33">
    <w:name w:val="annotation reference"/>
    <w:basedOn w:val="30"/>
    <w:unhideWhenUsed/>
    <w:qFormat/>
    <w:uiPriority w:val="0"/>
    <w:rPr>
      <w:w w:val="100"/>
      <w:sz w:val="21"/>
      <w:szCs w:val="21"/>
      <w:shd w:val="clear" w:color="auto" w:fill="auto"/>
    </w:rPr>
  </w:style>
  <w:style w:type="paragraph" w:styleId="34">
    <w:name w:val="No Spacing"/>
    <w:autoRedefine/>
    <w:qFormat/>
    <w:uiPriority w:val="5"/>
    <w:pPr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character" w:customStyle="1" w:styleId="35">
    <w:name w:val="不明显强调1"/>
    <w:autoRedefine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6">
    <w:name w:val="明显强调1"/>
    <w:autoRedefine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7">
    <w:name w:val="Quote"/>
    <w:autoRedefine/>
    <w:qFormat/>
    <w:uiPriority w:val="21"/>
    <w:pPr>
      <w:ind w:left="864" w:right="864"/>
      <w:jc w:val="center"/>
    </w:pPr>
    <w:rPr>
      <w:rFonts w:ascii="Calibri" w:hAnsi="Calibri" w:eastAsia="微软雅黑" w:cstheme="minorBidi"/>
      <w:i/>
      <w:color w:val="404040"/>
      <w:sz w:val="21"/>
      <w:szCs w:val="21"/>
      <w:lang w:val="en-US" w:eastAsia="zh-CN" w:bidi="ar-SA"/>
    </w:rPr>
  </w:style>
  <w:style w:type="paragraph" w:styleId="38">
    <w:name w:val="Intense Quote"/>
    <w:autoRedefine/>
    <w:qFormat/>
    <w:uiPriority w:val="22"/>
    <w:pPr>
      <w:ind w:left="950" w:right="950"/>
      <w:jc w:val="center"/>
    </w:pPr>
    <w:rPr>
      <w:rFonts w:ascii="Calibri" w:hAnsi="Calibri" w:eastAsia="微软雅黑" w:cstheme="minorBidi"/>
      <w:i/>
      <w:color w:val="5B9BD5"/>
      <w:sz w:val="21"/>
      <w:szCs w:val="21"/>
      <w:lang w:val="en-US" w:eastAsia="zh-CN" w:bidi="ar-SA"/>
    </w:rPr>
  </w:style>
  <w:style w:type="character" w:customStyle="1" w:styleId="39">
    <w:name w:val="不明显参考1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40">
    <w:name w:val="明显参考1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41">
    <w:name w:val="书籍标题1"/>
    <w:autoRedefine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42">
    <w:name w:val="List Paragraph"/>
    <w:qFormat/>
    <w:uiPriority w:val="26"/>
    <w:pPr>
      <w:ind w:left="85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customStyle="1" w:styleId="43">
    <w:name w:val="TOC 标题1"/>
    <w:unhideWhenUsed/>
    <w:qFormat/>
    <w:uiPriority w:val="27"/>
    <w:rPr>
      <w:rFonts w:ascii="Calibri" w:hAnsi="Calibri" w:eastAsia="微软雅黑" w:cstheme="minorBidi"/>
      <w:color w:val="2E74B5"/>
      <w:sz w:val="32"/>
      <w:szCs w:val="32"/>
      <w:lang w:val="en-US" w:eastAsia="zh-CN" w:bidi="ar-SA"/>
    </w:rPr>
  </w:style>
  <w:style w:type="character" w:customStyle="1" w:styleId="44">
    <w:name w:val="页眉 字符"/>
    <w:basedOn w:val="30"/>
    <w:link w:val="19"/>
    <w:autoRedefine/>
    <w:semiHidden/>
    <w:qFormat/>
    <w:uiPriority w:val="0"/>
    <w:rPr>
      <w:rFonts w:ascii="Tahoma" w:hAnsi="Tahoma" w:eastAsia="Tahoma"/>
      <w:w w:val="100"/>
      <w:sz w:val="18"/>
      <w:szCs w:val="18"/>
      <w:shd w:val="clear" w:color="auto" w:fill="auto"/>
    </w:rPr>
  </w:style>
  <w:style w:type="character" w:customStyle="1" w:styleId="45">
    <w:name w:val="页脚 字符"/>
    <w:basedOn w:val="30"/>
    <w:link w:val="18"/>
    <w:qFormat/>
    <w:uiPriority w:val="0"/>
    <w:rPr>
      <w:rFonts w:ascii="Tahoma" w:hAnsi="Tahoma" w:eastAsia="Tahoma"/>
      <w:w w:val="100"/>
      <w:sz w:val="18"/>
      <w:szCs w:val="18"/>
      <w:shd w:val="clear" w:color="auto" w:fill="auto"/>
    </w:rPr>
  </w:style>
  <w:style w:type="character" w:customStyle="1" w:styleId="46">
    <w:name w:val="批注框文本 字符"/>
    <w:basedOn w:val="30"/>
    <w:link w:val="17"/>
    <w:autoRedefine/>
    <w:semiHidden/>
    <w:qFormat/>
    <w:uiPriority w:val="0"/>
    <w:rPr>
      <w:rFonts w:ascii="Tahoma" w:hAnsi="Tahoma" w:eastAsia="Tahoma"/>
      <w:w w:val="100"/>
      <w:sz w:val="18"/>
      <w:szCs w:val="18"/>
      <w:shd w:val="clear" w:color="auto" w:fill="auto"/>
    </w:rPr>
  </w:style>
  <w:style w:type="character" w:customStyle="1" w:styleId="47">
    <w:name w:val="批注文字 字符"/>
    <w:basedOn w:val="30"/>
    <w:link w:val="13"/>
    <w:autoRedefine/>
    <w:semiHidden/>
    <w:qFormat/>
    <w:uiPriority w:val="0"/>
    <w:rPr>
      <w:rFonts w:ascii="Tahoma" w:hAnsi="Tahoma" w:eastAsia="Tahoma"/>
      <w:w w:val="100"/>
      <w:sz w:val="22"/>
      <w:szCs w:val="22"/>
      <w:shd w:val="clear" w:color="auto" w:fill="auto"/>
    </w:rPr>
  </w:style>
  <w:style w:type="character" w:customStyle="1" w:styleId="48">
    <w:name w:val="批注主题 字符"/>
    <w:basedOn w:val="47"/>
    <w:link w:val="28"/>
    <w:autoRedefine/>
    <w:semiHidden/>
    <w:qFormat/>
    <w:uiPriority w:val="0"/>
    <w:rPr>
      <w:rFonts w:ascii="Tahoma" w:hAnsi="Tahoma" w:eastAsia="Tahoma"/>
      <w:b/>
      <w:w w:val="100"/>
      <w:sz w:val="20"/>
      <w:szCs w:val="20"/>
      <w:shd w:val="clear" w:color="auto" w:fill="auto"/>
    </w:rPr>
  </w:style>
  <w:style w:type="character" w:customStyle="1" w:styleId="49">
    <w:name w:val="NormalCharacter"/>
    <w:autoRedefine/>
    <w:semiHidden/>
    <w:qFormat/>
    <w:uiPriority w:val="0"/>
    <w:rPr>
      <w:rFonts w:ascii="Tahoma" w:hAnsi="Tahoma" w:eastAsia="Tahoma" w:cstheme="minorBidi"/>
      <w:sz w:val="22"/>
      <w:szCs w:val="22"/>
      <w:lang w:val="en-US" w:eastAsia="zh-CN" w:bidi="ar-SA"/>
    </w:rPr>
  </w:style>
  <w:style w:type="paragraph" w:customStyle="1" w:styleId="50">
    <w:name w:val="修订1"/>
    <w:autoRedefine/>
    <w:hidden/>
    <w:unhideWhenUsed/>
    <w:qFormat/>
    <w:uiPriority w:val="99"/>
    <w:rPr>
      <w:rFonts w:ascii="Tahoma" w:hAnsi="Tahoma" w:eastAsia="Tahoma" w:cstheme="minorBidi"/>
      <w:sz w:val="22"/>
      <w:szCs w:val="22"/>
      <w:lang w:val="en-US" w:eastAsia="zh-CN" w:bidi="ar-SA"/>
    </w:rPr>
  </w:style>
  <w:style w:type="paragraph" w:customStyle="1" w:styleId="51">
    <w:name w:val="修订2"/>
    <w:autoRedefine/>
    <w:hidden/>
    <w:semiHidden/>
    <w:qFormat/>
    <w:uiPriority w:val="99"/>
    <w:rPr>
      <w:rFonts w:ascii="Tahoma" w:hAnsi="Tahoma" w:eastAsia="Tahoma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300</Words>
  <Characters>1716</Characters>
  <Lines>14</Lines>
  <Paragraphs>4</Paragraphs>
  <TotalTime>3</TotalTime>
  <ScaleCrop>false</ScaleCrop>
  <LinksUpToDate>false</LinksUpToDate>
  <CharactersWithSpaces>2012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2024-01-09T07:33:00Z</dcterms:created>
  <dc:creator>king</dc:creator>
  <cp:lastModifiedBy>老腌肉</cp:lastModifiedBy>
  <cp:lastPrinted>2020-12-30T00:55:00Z</cp:lastPrinted>
  <dcterms:modified xsi:type="dcterms:W3CDTF">2024-01-09T09:28:59Z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6B62ABC5EFBF4EEBA0C320B0AEE3373E_13</vt:lpwstr>
  </property>
</Properties>
</file>